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C22" w:rsidRDefault="00DD0C22">
      <w:pPr>
        <w:spacing w:after="40" w:line="240" w:lineRule="exact"/>
      </w:pPr>
    </w:p>
    <w:p w:rsidR="00DD0C22" w:rsidRDefault="00A63909">
      <w:pPr>
        <w:ind w:left="3940" w:right="39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115.5pt">
            <v:imagedata r:id="rId7" o:title=""/>
          </v:shape>
        </w:pict>
      </w:r>
    </w:p>
    <w:p w:rsidR="00DD0C22" w:rsidRDefault="00DD0C22">
      <w:pPr>
        <w:spacing w:after="160" w:line="240" w:lineRule="exact"/>
      </w:pPr>
    </w:p>
    <w:p w:rsidR="00326481" w:rsidRDefault="00326481">
      <w:pPr>
        <w:spacing w:after="160" w:line="240" w:lineRule="exact"/>
      </w:pPr>
    </w:p>
    <w:p w:rsidR="00326481" w:rsidRDefault="00326481">
      <w:pPr>
        <w:spacing w:after="160" w:line="240" w:lineRule="exact"/>
      </w:pPr>
    </w:p>
    <w:tbl>
      <w:tblPr>
        <w:tblW w:w="0" w:type="auto"/>
        <w:tblInd w:w="20" w:type="dxa"/>
        <w:tblLayout w:type="fixed"/>
        <w:tblLook w:val="04A0" w:firstRow="1" w:lastRow="0" w:firstColumn="1" w:lastColumn="0" w:noHBand="0" w:noVBand="1"/>
      </w:tblPr>
      <w:tblGrid>
        <w:gridCol w:w="9620"/>
      </w:tblGrid>
      <w:tr w:rsidR="00DD0C22">
        <w:tc>
          <w:tcPr>
            <w:tcW w:w="9620" w:type="dxa"/>
            <w:shd w:val="clear" w:color="666553" w:fill="666553"/>
            <w:tcMar>
              <w:top w:w="40" w:type="dxa"/>
              <w:left w:w="0" w:type="dxa"/>
              <w:bottom w:w="0" w:type="dxa"/>
              <w:right w:w="0" w:type="dxa"/>
            </w:tcMar>
            <w:vAlign w:val="center"/>
          </w:tcPr>
          <w:p w:rsidR="00DD0C22" w:rsidRDefault="00B313C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DD0C22" w:rsidRDefault="00B313CB">
      <w:pPr>
        <w:spacing w:line="240" w:lineRule="exact"/>
      </w:pPr>
      <w:r>
        <w:t xml:space="preserve"> </w:t>
      </w:r>
    </w:p>
    <w:p w:rsidR="00DD0C22" w:rsidRDefault="00DD0C22">
      <w:pPr>
        <w:spacing w:after="120" w:line="240" w:lineRule="exact"/>
      </w:pPr>
    </w:p>
    <w:p w:rsidR="00326481" w:rsidRDefault="00326481">
      <w:pPr>
        <w:spacing w:after="120" w:line="240" w:lineRule="exact"/>
      </w:pPr>
    </w:p>
    <w:p w:rsidR="00DD0C22" w:rsidRDefault="00B313CB">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after="180" w:line="240" w:lineRule="exact"/>
      </w:pPr>
    </w:p>
    <w:tbl>
      <w:tblPr>
        <w:tblW w:w="0" w:type="auto"/>
        <w:tblInd w:w="1280" w:type="dxa"/>
        <w:tblLayout w:type="fixed"/>
        <w:tblLook w:val="04A0" w:firstRow="1" w:lastRow="0" w:firstColumn="1" w:lastColumn="0" w:noHBand="0" w:noVBand="1"/>
      </w:tblPr>
      <w:tblGrid>
        <w:gridCol w:w="7100"/>
      </w:tblGrid>
      <w:tr w:rsidR="00DD0C22">
        <w:tc>
          <w:tcPr>
            <w:tcW w:w="7100" w:type="dxa"/>
            <w:tcBorders>
              <w:top w:val="single" w:sz="4" w:space="0" w:color="000000"/>
              <w:bottom w:val="single" w:sz="4" w:space="0" w:color="000000"/>
            </w:tcBorders>
            <w:tcMar>
              <w:top w:w="400" w:type="dxa"/>
              <w:left w:w="0" w:type="dxa"/>
              <w:bottom w:w="400" w:type="dxa"/>
              <w:right w:w="0" w:type="dxa"/>
            </w:tcMar>
            <w:vAlign w:val="center"/>
          </w:tcPr>
          <w:p w:rsidR="00DD0C22" w:rsidRDefault="00B313C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Renouvellement de la flotte automobile en location longue durée de la Chambre de Commerce et </w:t>
            </w:r>
            <w:bookmarkStart w:id="0" w:name="_GoBack"/>
            <w:bookmarkEnd w:id="0"/>
            <w:r>
              <w:rPr>
                <w:rFonts w:ascii="Trebuchet MS" w:eastAsia="Trebuchet MS" w:hAnsi="Trebuchet MS" w:cs="Trebuchet MS"/>
                <w:b/>
                <w:color w:val="000000"/>
                <w:sz w:val="28"/>
                <w:lang w:val="fr-FR"/>
              </w:rPr>
              <w:t>d'Industrie Bordeaux Gironde</w:t>
            </w:r>
          </w:p>
        </w:tc>
      </w:tr>
    </w:tbl>
    <w:p w:rsidR="00DD0C22" w:rsidRDefault="00B313CB">
      <w:pPr>
        <w:spacing w:line="240" w:lineRule="exact"/>
      </w:pPr>
      <w:r>
        <w:t xml:space="preserve"> </w:t>
      </w:r>
    </w:p>
    <w:p w:rsidR="00DD0C22" w:rsidRDefault="00DD0C22">
      <w:pPr>
        <w:spacing w:after="180" w:line="240" w:lineRule="exact"/>
      </w:pPr>
    </w:p>
    <w:p w:rsidR="00DD0C22" w:rsidRPr="00326481" w:rsidRDefault="00B313CB">
      <w:pPr>
        <w:spacing w:before="80" w:after="20"/>
        <w:ind w:left="20" w:right="20"/>
        <w:jc w:val="center"/>
        <w:rPr>
          <w:rFonts w:ascii="Trebuchet MS" w:eastAsia="Trebuchet MS" w:hAnsi="Trebuchet MS" w:cs="Trebuchet MS"/>
          <w:b/>
          <w:bCs/>
          <w:color w:val="000000"/>
          <w:sz w:val="40"/>
          <w:szCs w:val="40"/>
          <w:highlight w:val="yellow"/>
          <w:lang w:val="fr-FR"/>
        </w:rPr>
      </w:pPr>
      <w:r w:rsidRPr="00326481">
        <w:rPr>
          <w:rFonts w:ascii="Trebuchet MS" w:eastAsia="Trebuchet MS" w:hAnsi="Trebuchet MS" w:cs="Trebuchet MS"/>
          <w:b/>
          <w:bCs/>
          <w:color w:val="000000"/>
          <w:sz w:val="40"/>
          <w:szCs w:val="40"/>
          <w:highlight w:val="yellow"/>
          <w:lang w:val="fr-FR"/>
        </w:rPr>
        <w:t>Date et heure limites de réception des offres :</w:t>
      </w:r>
    </w:p>
    <w:p w:rsidR="00DD0C22" w:rsidRPr="00326481" w:rsidRDefault="00A63909">
      <w:pPr>
        <w:spacing w:before="80" w:after="20"/>
        <w:ind w:left="20" w:right="20"/>
        <w:jc w:val="center"/>
        <w:rPr>
          <w:rFonts w:ascii="Trebuchet MS" w:eastAsia="Trebuchet MS" w:hAnsi="Trebuchet MS" w:cs="Trebuchet MS"/>
          <w:b/>
          <w:bCs/>
          <w:color w:val="000000"/>
          <w:sz w:val="56"/>
          <w:szCs w:val="56"/>
          <w:lang w:val="fr-FR"/>
        </w:rPr>
      </w:pPr>
      <w:r w:rsidRPr="00A63909">
        <w:rPr>
          <w:rFonts w:ascii="Trebuchet MS" w:eastAsia="Trebuchet MS" w:hAnsi="Trebuchet MS" w:cs="Trebuchet MS"/>
          <w:b/>
          <w:bCs/>
          <w:color w:val="000000"/>
          <w:sz w:val="56"/>
          <w:szCs w:val="56"/>
          <w:highlight w:val="yellow"/>
          <w:lang w:val="fr-FR"/>
        </w:rPr>
        <w:t>Mardi 9 février 2021 à 12h00</w:t>
      </w: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DD0C22">
      <w:pPr>
        <w:spacing w:line="240" w:lineRule="exact"/>
      </w:pPr>
    </w:p>
    <w:p w:rsidR="00DD0C22" w:rsidRDefault="00B313C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rsidR="00DD0C22" w:rsidRDefault="00B313C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rsidR="00DD0C22" w:rsidRDefault="00B313C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rsidR="00DD0C22" w:rsidRDefault="00B313CB">
      <w:pPr>
        <w:spacing w:line="279" w:lineRule="exact"/>
        <w:ind w:left="20" w:right="20"/>
        <w:jc w:val="center"/>
        <w:rPr>
          <w:rFonts w:ascii="Trebuchet MS" w:eastAsia="Trebuchet MS" w:hAnsi="Trebuchet MS" w:cs="Trebuchet MS"/>
          <w:color w:val="000000"/>
          <w:lang w:val="fr-FR"/>
        </w:rPr>
        <w:sectPr w:rsidR="00DD0C22">
          <w:pgSz w:w="11900" w:h="16840"/>
          <w:pgMar w:top="1134" w:right="1134" w:bottom="1134" w:left="1134" w:header="1134" w:footer="1134" w:gutter="0"/>
          <w:cols w:space="708"/>
        </w:sectPr>
      </w:pPr>
      <w:r>
        <w:rPr>
          <w:rFonts w:ascii="Trebuchet MS" w:eastAsia="Trebuchet MS" w:hAnsi="Trebuchet MS" w:cs="Trebuchet MS"/>
          <w:color w:val="000000"/>
          <w:lang w:val="fr-FR"/>
        </w:rPr>
        <w:t>Tél : 0556795024</w:t>
      </w:r>
    </w:p>
    <w:p w:rsidR="00DD0C22" w:rsidRDefault="00DD0C22">
      <w:pPr>
        <w:spacing w:line="20" w:lineRule="exact"/>
        <w:rPr>
          <w:sz w:val="2"/>
        </w:rPr>
      </w:pPr>
    </w:p>
    <w:p w:rsidR="00DD0C22" w:rsidRDefault="00B313C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rsidR="00DD0C22" w:rsidRDefault="00DD0C22">
      <w:pPr>
        <w:spacing w:after="80" w:line="240" w:lineRule="exact"/>
      </w:pPr>
    </w:p>
    <w:p w:rsidR="006418D8" w:rsidRDefault="00B313C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6418D8" w:rsidRPr="00AA708A">
        <w:rPr>
          <w:rFonts w:ascii="Trebuchet MS" w:eastAsia="Trebuchet MS" w:hAnsi="Trebuchet MS" w:cs="Trebuchet MS"/>
          <w:noProof/>
          <w:color w:val="000000"/>
          <w:lang w:val="fr-FR"/>
        </w:rPr>
        <w:t>1 - Objet et étendue de la consultation</w:t>
      </w:r>
      <w:r w:rsidR="006418D8">
        <w:rPr>
          <w:noProof/>
        </w:rPr>
        <w:tab/>
      </w:r>
      <w:r w:rsidR="006418D8">
        <w:rPr>
          <w:noProof/>
        </w:rPr>
        <w:fldChar w:fldCharType="begin"/>
      </w:r>
      <w:r w:rsidR="006418D8">
        <w:rPr>
          <w:noProof/>
        </w:rPr>
        <w:instrText xml:space="preserve"> PAGEREF _Toc53669922 \h </w:instrText>
      </w:r>
      <w:r w:rsidR="006418D8">
        <w:rPr>
          <w:noProof/>
        </w:rPr>
      </w:r>
      <w:r w:rsidR="006418D8">
        <w:rPr>
          <w:noProof/>
        </w:rPr>
        <w:fldChar w:fldCharType="separate"/>
      </w:r>
      <w:r w:rsidR="006418D8">
        <w:rPr>
          <w:noProof/>
        </w:rPr>
        <w:t>3</w:t>
      </w:r>
      <w:r w:rsidR="006418D8">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1.1 - Objet</w:t>
      </w:r>
      <w:r>
        <w:rPr>
          <w:noProof/>
        </w:rPr>
        <w:tab/>
      </w:r>
      <w:r>
        <w:rPr>
          <w:noProof/>
        </w:rPr>
        <w:fldChar w:fldCharType="begin"/>
      </w:r>
      <w:r>
        <w:rPr>
          <w:noProof/>
        </w:rPr>
        <w:instrText xml:space="preserve"> PAGEREF _Toc53669923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1.2 - Mode de passation</w:t>
      </w:r>
      <w:r>
        <w:rPr>
          <w:noProof/>
        </w:rPr>
        <w:tab/>
      </w:r>
      <w:r>
        <w:rPr>
          <w:noProof/>
        </w:rPr>
        <w:fldChar w:fldCharType="begin"/>
      </w:r>
      <w:r>
        <w:rPr>
          <w:noProof/>
        </w:rPr>
        <w:instrText xml:space="preserve"> PAGEREF _Toc53669924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1.3 - Type et forme de contrat</w:t>
      </w:r>
      <w:r>
        <w:rPr>
          <w:noProof/>
        </w:rPr>
        <w:tab/>
      </w:r>
      <w:r>
        <w:rPr>
          <w:noProof/>
        </w:rPr>
        <w:fldChar w:fldCharType="begin"/>
      </w:r>
      <w:r>
        <w:rPr>
          <w:noProof/>
        </w:rPr>
        <w:instrText xml:space="preserve"> PAGEREF _Toc53669925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1.4 - Décomposition de la consultation</w:t>
      </w:r>
      <w:r>
        <w:rPr>
          <w:noProof/>
        </w:rPr>
        <w:tab/>
      </w:r>
      <w:r>
        <w:rPr>
          <w:noProof/>
        </w:rPr>
        <w:fldChar w:fldCharType="begin"/>
      </w:r>
      <w:r>
        <w:rPr>
          <w:noProof/>
        </w:rPr>
        <w:instrText xml:space="preserve"> PAGEREF _Toc53669926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1.5 - Nomenclature</w:t>
      </w:r>
      <w:r>
        <w:rPr>
          <w:noProof/>
        </w:rPr>
        <w:tab/>
      </w:r>
      <w:r>
        <w:rPr>
          <w:noProof/>
        </w:rPr>
        <w:fldChar w:fldCharType="begin"/>
      </w:r>
      <w:r>
        <w:rPr>
          <w:noProof/>
        </w:rPr>
        <w:instrText xml:space="preserve"> PAGEREF _Toc53669927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1.6 - Réalisation de prestations similaires</w:t>
      </w:r>
      <w:r>
        <w:rPr>
          <w:noProof/>
        </w:rPr>
        <w:tab/>
      </w:r>
      <w:r>
        <w:rPr>
          <w:noProof/>
        </w:rPr>
        <w:fldChar w:fldCharType="begin"/>
      </w:r>
      <w:r>
        <w:rPr>
          <w:noProof/>
        </w:rPr>
        <w:instrText xml:space="preserve"> PAGEREF _Toc53669928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1.7 - Renouvellement</w:t>
      </w:r>
      <w:r>
        <w:rPr>
          <w:noProof/>
        </w:rPr>
        <w:tab/>
      </w:r>
      <w:r>
        <w:rPr>
          <w:noProof/>
        </w:rPr>
        <w:fldChar w:fldCharType="begin"/>
      </w:r>
      <w:r>
        <w:rPr>
          <w:noProof/>
        </w:rPr>
        <w:instrText xml:space="preserve"> PAGEREF _Toc53669929 \h </w:instrText>
      </w:r>
      <w:r>
        <w:rPr>
          <w:noProof/>
        </w:rPr>
      </w:r>
      <w:r>
        <w:rPr>
          <w:noProof/>
        </w:rPr>
        <w:fldChar w:fldCharType="separate"/>
      </w:r>
      <w:r>
        <w:rPr>
          <w:noProof/>
        </w:rPr>
        <w:t>3</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2 - Conditions de la consultation</w:t>
      </w:r>
      <w:r>
        <w:rPr>
          <w:noProof/>
        </w:rPr>
        <w:tab/>
      </w:r>
      <w:r>
        <w:rPr>
          <w:noProof/>
        </w:rPr>
        <w:fldChar w:fldCharType="begin"/>
      </w:r>
      <w:r>
        <w:rPr>
          <w:noProof/>
        </w:rPr>
        <w:instrText xml:space="preserve"> PAGEREF _Toc53669930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2.1 - Délai de validité des offres</w:t>
      </w:r>
      <w:r>
        <w:rPr>
          <w:noProof/>
        </w:rPr>
        <w:tab/>
      </w:r>
      <w:r>
        <w:rPr>
          <w:noProof/>
        </w:rPr>
        <w:fldChar w:fldCharType="begin"/>
      </w:r>
      <w:r>
        <w:rPr>
          <w:noProof/>
        </w:rPr>
        <w:instrText xml:space="preserve"> PAGEREF _Toc53669931 \h </w:instrText>
      </w:r>
      <w:r>
        <w:rPr>
          <w:noProof/>
        </w:rPr>
      </w:r>
      <w:r>
        <w:rPr>
          <w:noProof/>
        </w:rPr>
        <w:fldChar w:fldCharType="separate"/>
      </w:r>
      <w:r>
        <w:rPr>
          <w:noProof/>
        </w:rPr>
        <w:t>3</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2.2 - Forme juridique du groupement</w:t>
      </w:r>
      <w:r>
        <w:rPr>
          <w:noProof/>
        </w:rPr>
        <w:tab/>
      </w:r>
      <w:r>
        <w:rPr>
          <w:noProof/>
        </w:rPr>
        <w:fldChar w:fldCharType="begin"/>
      </w:r>
      <w:r>
        <w:rPr>
          <w:noProof/>
        </w:rPr>
        <w:instrText xml:space="preserve"> PAGEREF _Toc53669932 \h </w:instrText>
      </w:r>
      <w:r>
        <w:rPr>
          <w:noProof/>
        </w:rPr>
      </w:r>
      <w:r>
        <w:rPr>
          <w:noProof/>
        </w:rPr>
        <w:fldChar w:fldCharType="separate"/>
      </w:r>
      <w:r>
        <w:rPr>
          <w:noProof/>
        </w:rPr>
        <w:t>4</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2.3 - Variantes</w:t>
      </w:r>
      <w:r>
        <w:rPr>
          <w:noProof/>
        </w:rPr>
        <w:tab/>
      </w:r>
      <w:r>
        <w:rPr>
          <w:noProof/>
        </w:rPr>
        <w:fldChar w:fldCharType="begin"/>
      </w:r>
      <w:r>
        <w:rPr>
          <w:noProof/>
        </w:rPr>
        <w:instrText xml:space="preserve"> PAGEREF _Toc53669933 \h </w:instrText>
      </w:r>
      <w:r>
        <w:rPr>
          <w:noProof/>
        </w:rPr>
      </w:r>
      <w:r>
        <w:rPr>
          <w:noProof/>
        </w:rPr>
        <w:fldChar w:fldCharType="separate"/>
      </w:r>
      <w:r>
        <w:rPr>
          <w:noProof/>
        </w:rPr>
        <w:t>4</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2.4 - Variantes exigées</w:t>
      </w:r>
      <w:r>
        <w:rPr>
          <w:noProof/>
        </w:rPr>
        <w:tab/>
      </w:r>
      <w:r>
        <w:rPr>
          <w:noProof/>
        </w:rPr>
        <w:fldChar w:fldCharType="begin"/>
      </w:r>
      <w:r>
        <w:rPr>
          <w:noProof/>
        </w:rPr>
        <w:instrText xml:space="preserve"> PAGEREF _Toc53669934 \h </w:instrText>
      </w:r>
      <w:r>
        <w:rPr>
          <w:noProof/>
        </w:rPr>
      </w:r>
      <w:r>
        <w:rPr>
          <w:noProof/>
        </w:rPr>
        <w:fldChar w:fldCharType="separate"/>
      </w:r>
      <w:r>
        <w:rPr>
          <w:noProof/>
        </w:rPr>
        <w:t>4</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3 - Conditions relatives au contrat</w:t>
      </w:r>
      <w:r>
        <w:rPr>
          <w:noProof/>
        </w:rPr>
        <w:tab/>
      </w:r>
      <w:r>
        <w:rPr>
          <w:noProof/>
        </w:rPr>
        <w:fldChar w:fldCharType="begin"/>
      </w:r>
      <w:r>
        <w:rPr>
          <w:noProof/>
        </w:rPr>
        <w:instrText xml:space="preserve"> PAGEREF _Toc53669935 \h </w:instrText>
      </w:r>
      <w:r>
        <w:rPr>
          <w:noProof/>
        </w:rPr>
      </w:r>
      <w:r>
        <w:rPr>
          <w:noProof/>
        </w:rPr>
        <w:fldChar w:fldCharType="separate"/>
      </w:r>
      <w:r>
        <w:rPr>
          <w:noProof/>
        </w:rPr>
        <w:t>4</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3.1 - Durée du contrat ou délai d'exécution</w:t>
      </w:r>
      <w:r>
        <w:rPr>
          <w:noProof/>
        </w:rPr>
        <w:tab/>
      </w:r>
      <w:r>
        <w:rPr>
          <w:noProof/>
        </w:rPr>
        <w:fldChar w:fldCharType="begin"/>
      </w:r>
      <w:r>
        <w:rPr>
          <w:noProof/>
        </w:rPr>
        <w:instrText xml:space="preserve"> PAGEREF _Toc53669936 \h </w:instrText>
      </w:r>
      <w:r>
        <w:rPr>
          <w:noProof/>
        </w:rPr>
      </w:r>
      <w:r>
        <w:rPr>
          <w:noProof/>
        </w:rPr>
        <w:fldChar w:fldCharType="separate"/>
      </w:r>
      <w:r>
        <w:rPr>
          <w:noProof/>
        </w:rPr>
        <w:t>4</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3.2 - Modalités essentielles de financement et de paiement</w:t>
      </w:r>
      <w:r>
        <w:rPr>
          <w:noProof/>
        </w:rPr>
        <w:tab/>
      </w:r>
      <w:r>
        <w:rPr>
          <w:noProof/>
        </w:rPr>
        <w:fldChar w:fldCharType="begin"/>
      </w:r>
      <w:r>
        <w:rPr>
          <w:noProof/>
        </w:rPr>
        <w:instrText xml:space="preserve"> PAGEREF _Toc53669937 \h </w:instrText>
      </w:r>
      <w:r>
        <w:rPr>
          <w:noProof/>
        </w:rPr>
      </w:r>
      <w:r>
        <w:rPr>
          <w:noProof/>
        </w:rPr>
        <w:fldChar w:fldCharType="separate"/>
      </w:r>
      <w:r>
        <w:rPr>
          <w:noProof/>
        </w:rPr>
        <w:t>4</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4 - Contenu du dossier de consultation</w:t>
      </w:r>
      <w:r>
        <w:rPr>
          <w:noProof/>
        </w:rPr>
        <w:tab/>
      </w:r>
      <w:r>
        <w:rPr>
          <w:noProof/>
        </w:rPr>
        <w:fldChar w:fldCharType="begin"/>
      </w:r>
      <w:r>
        <w:rPr>
          <w:noProof/>
        </w:rPr>
        <w:instrText xml:space="preserve"> PAGEREF _Toc53669938 \h </w:instrText>
      </w:r>
      <w:r>
        <w:rPr>
          <w:noProof/>
        </w:rPr>
      </w:r>
      <w:r>
        <w:rPr>
          <w:noProof/>
        </w:rPr>
        <w:fldChar w:fldCharType="separate"/>
      </w:r>
      <w:r>
        <w:rPr>
          <w:noProof/>
        </w:rPr>
        <w:t>4</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5 - Présentation des candidatures et des offres</w:t>
      </w:r>
      <w:r>
        <w:rPr>
          <w:noProof/>
        </w:rPr>
        <w:tab/>
      </w:r>
      <w:r>
        <w:rPr>
          <w:noProof/>
        </w:rPr>
        <w:fldChar w:fldCharType="begin"/>
      </w:r>
      <w:r>
        <w:rPr>
          <w:noProof/>
        </w:rPr>
        <w:instrText xml:space="preserve"> PAGEREF _Toc53669939 \h </w:instrText>
      </w:r>
      <w:r>
        <w:rPr>
          <w:noProof/>
        </w:rPr>
      </w:r>
      <w:r>
        <w:rPr>
          <w:noProof/>
        </w:rPr>
        <w:fldChar w:fldCharType="separate"/>
      </w:r>
      <w:r>
        <w:rPr>
          <w:noProof/>
        </w:rPr>
        <w:t>5</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5.1 - Documents à produire</w:t>
      </w:r>
      <w:r>
        <w:rPr>
          <w:noProof/>
        </w:rPr>
        <w:tab/>
      </w:r>
      <w:r>
        <w:rPr>
          <w:noProof/>
        </w:rPr>
        <w:fldChar w:fldCharType="begin"/>
      </w:r>
      <w:r>
        <w:rPr>
          <w:noProof/>
        </w:rPr>
        <w:instrText xml:space="preserve"> PAGEREF _Toc53669940 \h </w:instrText>
      </w:r>
      <w:r>
        <w:rPr>
          <w:noProof/>
        </w:rPr>
      </w:r>
      <w:r>
        <w:rPr>
          <w:noProof/>
        </w:rPr>
        <w:fldChar w:fldCharType="separate"/>
      </w:r>
      <w:r>
        <w:rPr>
          <w:noProof/>
        </w:rPr>
        <w:t>5</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5.2 - Présentation des variantes</w:t>
      </w:r>
      <w:r>
        <w:rPr>
          <w:noProof/>
        </w:rPr>
        <w:tab/>
      </w:r>
      <w:r>
        <w:rPr>
          <w:noProof/>
        </w:rPr>
        <w:fldChar w:fldCharType="begin"/>
      </w:r>
      <w:r>
        <w:rPr>
          <w:noProof/>
        </w:rPr>
        <w:instrText xml:space="preserve"> PAGEREF _Toc53669941 \h </w:instrText>
      </w:r>
      <w:r>
        <w:rPr>
          <w:noProof/>
        </w:rPr>
      </w:r>
      <w:r>
        <w:rPr>
          <w:noProof/>
        </w:rPr>
        <w:fldChar w:fldCharType="separate"/>
      </w:r>
      <w:r>
        <w:rPr>
          <w:noProof/>
        </w:rPr>
        <w:t>5</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5.3 - Présentation des variantes exigées</w:t>
      </w:r>
      <w:r>
        <w:rPr>
          <w:noProof/>
        </w:rPr>
        <w:tab/>
      </w:r>
      <w:r>
        <w:rPr>
          <w:noProof/>
        </w:rPr>
        <w:fldChar w:fldCharType="begin"/>
      </w:r>
      <w:r>
        <w:rPr>
          <w:noProof/>
        </w:rPr>
        <w:instrText xml:space="preserve"> PAGEREF _Toc53669942 \h </w:instrText>
      </w:r>
      <w:r>
        <w:rPr>
          <w:noProof/>
        </w:rPr>
      </w:r>
      <w:r>
        <w:rPr>
          <w:noProof/>
        </w:rPr>
        <w:fldChar w:fldCharType="separate"/>
      </w:r>
      <w:r>
        <w:rPr>
          <w:noProof/>
        </w:rPr>
        <w:t>6</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6 - Conditions d'envoi ou de remise des plis</w:t>
      </w:r>
      <w:r>
        <w:rPr>
          <w:noProof/>
        </w:rPr>
        <w:tab/>
      </w:r>
      <w:r>
        <w:rPr>
          <w:noProof/>
        </w:rPr>
        <w:fldChar w:fldCharType="begin"/>
      </w:r>
      <w:r>
        <w:rPr>
          <w:noProof/>
        </w:rPr>
        <w:instrText xml:space="preserve"> PAGEREF _Toc53669943 \h </w:instrText>
      </w:r>
      <w:r>
        <w:rPr>
          <w:noProof/>
        </w:rPr>
      </w:r>
      <w:r>
        <w:rPr>
          <w:noProof/>
        </w:rPr>
        <w:fldChar w:fldCharType="separate"/>
      </w:r>
      <w:r>
        <w:rPr>
          <w:noProof/>
        </w:rPr>
        <w:t>6</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6.1 - Transmission électronique</w:t>
      </w:r>
      <w:r>
        <w:rPr>
          <w:noProof/>
        </w:rPr>
        <w:tab/>
      </w:r>
      <w:r>
        <w:rPr>
          <w:noProof/>
        </w:rPr>
        <w:fldChar w:fldCharType="begin"/>
      </w:r>
      <w:r>
        <w:rPr>
          <w:noProof/>
        </w:rPr>
        <w:instrText xml:space="preserve"> PAGEREF _Toc53669944 \h </w:instrText>
      </w:r>
      <w:r>
        <w:rPr>
          <w:noProof/>
        </w:rPr>
      </w:r>
      <w:r>
        <w:rPr>
          <w:noProof/>
        </w:rPr>
        <w:fldChar w:fldCharType="separate"/>
      </w:r>
      <w:r>
        <w:rPr>
          <w:noProof/>
        </w:rPr>
        <w:t>6</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6.2 - Transmission sous support papier</w:t>
      </w:r>
      <w:r>
        <w:rPr>
          <w:noProof/>
        </w:rPr>
        <w:tab/>
      </w:r>
      <w:r>
        <w:rPr>
          <w:noProof/>
        </w:rPr>
        <w:fldChar w:fldCharType="begin"/>
      </w:r>
      <w:r>
        <w:rPr>
          <w:noProof/>
        </w:rPr>
        <w:instrText xml:space="preserve"> PAGEREF _Toc53669945 \h </w:instrText>
      </w:r>
      <w:r>
        <w:rPr>
          <w:noProof/>
        </w:rPr>
      </w:r>
      <w:r>
        <w:rPr>
          <w:noProof/>
        </w:rPr>
        <w:fldChar w:fldCharType="separate"/>
      </w:r>
      <w:r>
        <w:rPr>
          <w:noProof/>
        </w:rPr>
        <w:t>7</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7 - Examen des candidatures et des offres</w:t>
      </w:r>
      <w:r>
        <w:rPr>
          <w:noProof/>
        </w:rPr>
        <w:tab/>
      </w:r>
      <w:r>
        <w:rPr>
          <w:noProof/>
        </w:rPr>
        <w:fldChar w:fldCharType="begin"/>
      </w:r>
      <w:r>
        <w:rPr>
          <w:noProof/>
        </w:rPr>
        <w:instrText xml:space="preserve"> PAGEREF _Toc53669946 \h </w:instrText>
      </w:r>
      <w:r>
        <w:rPr>
          <w:noProof/>
        </w:rPr>
      </w:r>
      <w:r>
        <w:rPr>
          <w:noProof/>
        </w:rPr>
        <w:fldChar w:fldCharType="separate"/>
      </w:r>
      <w:r>
        <w:rPr>
          <w:noProof/>
        </w:rPr>
        <w:t>7</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7.1 - Sélection des candidatures</w:t>
      </w:r>
      <w:r>
        <w:rPr>
          <w:noProof/>
        </w:rPr>
        <w:tab/>
      </w:r>
      <w:r>
        <w:rPr>
          <w:noProof/>
        </w:rPr>
        <w:fldChar w:fldCharType="begin"/>
      </w:r>
      <w:r>
        <w:rPr>
          <w:noProof/>
        </w:rPr>
        <w:instrText xml:space="preserve"> PAGEREF _Toc53669947 \h </w:instrText>
      </w:r>
      <w:r>
        <w:rPr>
          <w:noProof/>
        </w:rPr>
      </w:r>
      <w:r>
        <w:rPr>
          <w:noProof/>
        </w:rPr>
        <w:fldChar w:fldCharType="separate"/>
      </w:r>
      <w:r>
        <w:rPr>
          <w:noProof/>
        </w:rPr>
        <w:t>7</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7.2 - Attribution des marchés</w:t>
      </w:r>
      <w:r>
        <w:rPr>
          <w:noProof/>
        </w:rPr>
        <w:tab/>
      </w:r>
      <w:r>
        <w:rPr>
          <w:noProof/>
        </w:rPr>
        <w:fldChar w:fldCharType="begin"/>
      </w:r>
      <w:r>
        <w:rPr>
          <w:noProof/>
        </w:rPr>
        <w:instrText xml:space="preserve"> PAGEREF _Toc53669948 \h </w:instrText>
      </w:r>
      <w:r>
        <w:rPr>
          <w:noProof/>
        </w:rPr>
      </w:r>
      <w:r>
        <w:rPr>
          <w:noProof/>
        </w:rPr>
        <w:fldChar w:fldCharType="separate"/>
      </w:r>
      <w:r>
        <w:rPr>
          <w:noProof/>
        </w:rPr>
        <w:t>7</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7.3 - Suite à donner à la consultation</w:t>
      </w:r>
      <w:r>
        <w:rPr>
          <w:noProof/>
        </w:rPr>
        <w:tab/>
      </w:r>
      <w:r>
        <w:rPr>
          <w:noProof/>
        </w:rPr>
        <w:fldChar w:fldCharType="begin"/>
      </w:r>
      <w:r>
        <w:rPr>
          <w:noProof/>
        </w:rPr>
        <w:instrText xml:space="preserve"> PAGEREF _Toc53669949 \h </w:instrText>
      </w:r>
      <w:r>
        <w:rPr>
          <w:noProof/>
        </w:rPr>
      </w:r>
      <w:r>
        <w:rPr>
          <w:noProof/>
        </w:rPr>
        <w:fldChar w:fldCharType="separate"/>
      </w:r>
      <w:r>
        <w:rPr>
          <w:noProof/>
        </w:rPr>
        <w:t>7</w:t>
      </w:r>
      <w:r>
        <w:rPr>
          <w:noProof/>
        </w:rPr>
        <w:fldChar w:fldCharType="end"/>
      </w:r>
    </w:p>
    <w:p w:rsidR="006418D8" w:rsidRDefault="006418D8">
      <w:pPr>
        <w:pStyle w:val="TM1"/>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8 - Renseignements complémentaires</w:t>
      </w:r>
      <w:r>
        <w:rPr>
          <w:noProof/>
        </w:rPr>
        <w:tab/>
      </w:r>
      <w:r>
        <w:rPr>
          <w:noProof/>
        </w:rPr>
        <w:fldChar w:fldCharType="begin"/>
      </w:r>
      <w:r>
        <w:rPr>
          <w:noProof/>
        </w:rPr>
        <w:instrText xml:space="preserve"> PAGEREF _Toc53669950 \h </w:instrText>
      </w:r>
      <w:r>
        <w:rPr>
          <w:noProof/>
        </w:rPr>
      </w:r>
      <w:r>
        <w:rPr>
          <w:noProof/>
        </w:rPr>
        <w:fldChar w:fldCharType="separate"/>
      </w:r>
      <w:r>
        <w:rPr>
          <w:noProof/>
        </w:rPr>
        <w:t>7</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8.1 - Adresses supplémentaires et points de contact</w:t>
      </w:r>
      <w:r>
        <w:rPr>
          <w:noProof/>
        </w:rPr>
        <w:tab/>
      </w:r>
      <w:r>
        <w:rPr>
          <w:noProof/>
        </w:rPr>
        <w:fldChar w:fldCharType="begin"/>
      </w:r>
      <w:r>
        <w:rPr>
          <w:noProof/>
        </w:rPr>
        <w:instrText xml:space="preserve"> PAGEREF _Toc53669951 \h </w:instrText>
      </w:r>
      <w:r>
        <w:rPr>
          <w:noProof/>
        </w:rPr>
      </w:r>
      <w:r>
        <w:rPr>
          <w:noProof/>
        </w:rPr>
        <w:fldChar w:fldCharType="separate"/>
      </w:r>
      <w:r>
        <w:rPr>
          <w:noProof/>
        </w:rPr>
        <w:t>7</w:t>
      </w:r>
      <w:r>
        <w:rPr>
          <w:noProof/>
        </w:rPr>
        <w:fldChar w:fldCharType="end"/>
      </w:r>
    </w:p>
    <w:p w:rsidR="006418D8" w:rsidRDefault="006418D8">
      <w:pPr>
        <w:pStyle w:val="TM2"/>
        <w:tabs>
          <w:tab w:val="right" w:leader="dot" w:pos="9622"/>
        </w:tabs>
        <w:rPr>
          <w:rFonts w:asciiTheme="minorHAnsi" w:eastAsiaTheme="minorEastAsia" w:hAnsiTheme="minorHAnsi" w:cstheme="minorBidi"/>
          <w:noProof/>
          <w:sz w:val="22"/>
          <w:szCs w:val="22"/>
          <w:lang w:val="fr-FR" w:eastAsia="fr-FR"/>
        </w:rPr>
      </w:pPr>
      <w:r w:rsidRPr="00AA708A">
        <w:rPr>
          <w:rFonts w:ascii="Trebuchet MS" w:eastAsia="Trebuchet MS" w:hAnsi="Trebuchet MS" w:cs="Trebuchet MS"/>
          <w:noProof/>
          <w:color w:val="000000"/>
          <w:lang w:val="fr-FR"/>
        </w:rPr>
        <w:t>8.2 - Procédures de recours</w:t>
      </w:r>
      <w:r>
        <w:rPr>
          <w:noProof/>
        </w:rPr>
        <w:tab/>
      </w:r>
      <w:r>
        <w:rPr>
          <w:noProof/>
        </w:rPr>
        <w:fldChar w:fldCharType="begin"/>
      </w:r>
      <w:r>
        <w:rPr>
          <w:noProof/>
        </w:rPr>
        <w:instrText xml:space="preserve"> PAGEREF _Toc53669952 \h </w:instrText>
      </w:r>
      <w:r>
        <w:rPr>
          <w:noProof/>
        </w:rPr>
      </w:r>
      <w:r>
        <w:rPr>
          <w:noProof/>
        </w:rPr>
        <w:fldChar w:fldCharType="separate"/>
      </w:r>
      <w:r>
        <w:rPr>
          <w:noProof/>
        </w:rPr>
        <w:t>8</w:t>
      </w:r>
      <w:r>
        <w:rPr>
          <w:noProof/>
        </w:rPr>
        <w:fldChar w:fldCharType="end"/>
      </w:r>
    </w:p>
    <w:p w:rsidR="00DD0C22" w:rsidRDefault="00B313CB">
      <w:pPr>
        <w:spacing w:after="140"/>
        <w:ind w:left="20" w:right="20"/>
        <w:rPr>
          <w:rFonts w:ascii="Trebuchet MS" w:eastAsia="Trebuchet MS" w:hAnsi="Trebuchet MS" w:cs="Trebuchet MS"/>
          <w:color w:val="000000"/>
          <w:sz w:val="22"/>
          <w:lang w:val="fr-FR"/>
        </w:rPr>
        <w:sectPr w:rsidR="00DD0C22">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rsidR="00DD0C22" w:rsidRDefault="00DD0C22">
      <w:pPr>
        <w:spacing w:line="20" w:lineRule="exact"/>
        <w:rPr>
          <w:sz w:val="2"/>
        </w:rPr>
      </w:pPr>
    </w:p>
    <w:p w:rsidR="00DD0C22" w:rsidRDefault="00B313CB">
      <w:pPr>
        <w:pStyle w:val="Titre1"/>
        <w:rPr>
          <w:rFonts w:ascii="Trebuchet MS" w:eastAsia="Trebuchet MS" w:hAnsi="Trebuchet MS" w:cs="Trebuchet MS"/>
          <w:color w:val="000000"/>
          <w:sz w:val="28"/>
          <w:lang w:val="fr-FR"/>
        </w:rPr>
      </w:pPr>
      <w:bookmarkStart w:id="1" w:name="_Toc53669922"/>
      <w:r>
        <w:rPr>
          <w:rFonts w:ascii="Trebuchet MS" w:eastAsia="Trebuchet MS" w:hAnsi="Trebuchet MS" w:cs="Trebuchet MS"/>
          <w:color w:val="000000"/>
          <w:sz w:val="28"/>
          <w:lang w:val="fr-FR"/>
        </w:rPr>
        <w:t>1 - Objet et étendue de la consultation</w:t>
      </w:r>
      <w:bookmarkEnd w:id="1"/>
    </w:p>
    <w:p w:rsidR="00DD0C22" w:rsidRDefault="00B313CB">
      <w:pPr>
        <w:pStyle w:val="Titre2"/>
        <w:ind w:left="300" w:right="20"/>
        <w:rPr>
          <w:rFonts w:ascii="Trebuchet MS" w:eastAsia="Trebuchet MS" w:hAnsi="Trebuchet MS" w:cs="Trebuchet MS"/>
          <w:i w:val="0"/>
          <w:color w:val="000000"/>
          <w:sz w:val="24"/>
          <w:lang w:val="fr-FR"/>
        </w:rPr>
      </w:pPr>
      <w:bookmarkStart w:id="2" w:name="_Toc53669923"/>
      <w:r>
        <w:rPr>
          <w:rFonts w:ascii="Trebuchet MS" w:eastAsia="Trebuchet MS" w:hAnsi="Trebuchet MS" w:cs="Trebuchet MS"/>
          <w:i w:val="0"/>
          <w:color w:val="000000"/>
          <w:sz w:val="24"/>
          <w:lang w:val="fr-FR"/>
        </w:rPr>
        <w:t>1.1 - Objet</w:t>
      </w:r>
      <w:bookmarkEnd w:id="2"/>
    </w:p>
    <w:p w:rsidR="00DD0C22" w:rsidRDefault="00B313CB">
      <w:pPr>
        <w:pStyle w:val="ParagrapheIndent2"/>
        <w:spacing w:line="232" w:lineRule="exact"/>
        <w:ind w:left="20" w:right="20"/>
        <w:jc w:val="both"/>
        <w:rPr>
          <w:color w:val="000000"/>
          <w:lang w:val="fr-FR"/>
        </w:rPr>
      </w:pPr>
      <w:r>
        <w:rPr>
          <w:color w:val="000000"/>
          <w:lang w:val="fr-FR"/>
        </w:rPr>
        <w:t>La présente consultation concerne :</w:t>
      </w:r>
    </w:p>
    <w:p w:rsidR="00DD0C22" w:rsidRDefault="00B313CB">
      <w:pPr>
        <w:pStyle w:val="ParagrapheIndent2"/>
        <w:spacing w:after="240" w:line="232" w:lineRule="exact"/>
        <w:ind w:left="20" w:right="20"/>
        <w:jc w:val="both"/>
        <w:rPr>
          <w:color w:val="000000"/>
          <w:lang w:val="fr-FR"/>
        </w:rPr>
      </w:pPr>
      <w:r>
        <w:rPr>
          <w:color w:val="000000"/>
          <w:lang w:val="fr-FR"/>
        </w:rPr>
        <w:t>Renouvellement de la flotte automobile en location longue durée de la Chambre de Commerce et d'Industrie Bordeaux Gironde</w:t>
      </w:r>
    </w:p>
    <w:p w:rsidR="00DD0C22" w:rsidRDefault="00B313CB">
      <w:pPr>
        <w:pStyle w:val="Titre2"/>
        <w:ind w:left="300" w:right="20"/>
        <w:rPr>
          <w:rFonts w:ascii="Trebuchet MS" w:eastAsia="Trebuchet MS" w:hAnsi="Trebuchet MS" w:cs="Trebuchet MS"/>
          <w:i w:val="0"/>
          <w:color w:val="000000"/>
          <w:sz w:val="24"/>
          <w:lang w:val="fr-FR"/>
        </w:rPr>
      </w:pPr>
      <w:bookmarkStart w:id="3" w:name="_Toc53669924"/>
      <w:r>
        <w:rPr>
          <w:rFonts w:ascii="Trebuchet MS" w:eastAsia="Trebuchet MS" w:hAnsi="Trebuchet MS" w:cs="Trebuchet MS"/>
          <w:i w:val="0"/>
          <w:color w:val="000000"/>
          <w:sz w:val="24"/>
          <w:lang w:val="fr-FR"/>
        </w:rPr>
        <w:t>1.2 - Mode de passation</w:t>
      </w:r>
      <w:bookmarkEnd w:id="3"/>
    </w:p>
    <w:p w:rsidR="00DD0C22" w:rsidRDefault="00B313CB">
      <w:pPr>
        <w:pStyle w:val="ParagrapheIndent2"/>
        <w:spacing w:after="240" w:line="232" w:lineRule="exact"/>
        <w:ind w:left="20" w:right="20"/>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rsidR="00DD0C22" w:rsidRDefault="00B313CB">
      <w:pPr>
        <w:pStyle w:val="Titre2"/>
        <w:ind w:left="300" w:right="20"/>
        <w:rPr>
          <w:rFonts w:ascii="Trebuchet MS" w:eastAsia="Trebuchet MS" w:hAnsi="Trebuchet MS" w:cs="Trebuchet MS"/>
          <w:i w:val="0"/>
          <w:color w:val="000000"/>
          <w:sz w:val="24"/>
          <w:lang w:val="fr-FR"/>
        </w:rPr>
      </w:pPr>
      <w:bookmarkStart w:id="4" w:name="_Toc53669925"/>
      <w:r>
        <w:rPr>
          <w:rFonts w:ascii="Trebuchet MS" w:eastAsia="Trebuchet MS" w:hAnsi="Trebuchet MS" w:cs="Trebuchet MS"/>
          <w:i w:val="0"/>
          <w:color w:val="000000"/>
          <w:sz w:val="24"/>
          <w:lang w:val="fr-FR"/>
        </w:rPr>
        <w:t>1.3 - Type et forme de contrat</w:t>
      </w:r>
      <w:bookmarkEnd w:id="4"/>
    </w:p>
    <w:p w:rsidR="00DD0C22" w:rsidRDefault="00B313CB">
      <w:pPr>
        <w:pStyle w:val="ParagrapheIndent2"/>
        <w:spacing w:after="240"/>
        <w:ind w:left="20" w:right="20"/>
        <w:jc w:val="both"/>
        <w:rPr>
          <w:color w:val="000000"/>
          <w:lang w:val="fr-FR"/>
        </w:rPr>
      </w:pPr>
      <w:r>
        <w:rPr>
          <w:color w:val="000000"/>
          <w:lang w:val="fr-FR"/>
        </w:rPr>
        <w:t>Il s'agit d'un marché ordinaire.</w:t>
      </w:r>
    </w:p>
    <w:p w:rsidR="00DD0C22" w:rsidRDefault="00B313CB">
      <w:pPr>
        <w:pStyle w:val="Titre2"/>
        <w:ind w:left="300" w:right="20"/>
        <w:rPr>
          <w:rFonts w:ascii="Trebuchet MS" w:eastAsia="Trebuchet MS" w:hAnsi="Trebuchet MS" w:cs="Trebuchet MS"/>
          <w:i w:val="0"/>
          <w:color w:val="000000"/>
          <w:sz w:val="24"/>
          <w:lang w:val="fr-FR"/>
        </w:rPr>
      </w:pPr>
      <w:bookmarkStart w:id="5" w:name="_Toc53669926"/>
      <w:r>
        <w:rPr>
          <w:rFonts w:ascii="Trebuchet MS" w:eastAsia="Trebuchet MS" w:hAnsi="Trebuchet MS" w:cs="Trebuchet MS"/>
          <w:i w:val="0"/>
          <w:color w:val="000000"/>
          <w:sz w:val="24"/>
          <w:lang w:val="fr-FR"/>
        </w:rPr>
        <w:t>1.4 - Décomposition de la consultation</w:t>
      </w:r>
      <w:bookmarkEnd w:id="5"/>
    </w:p>
    <w:p w:rsidR="00DD0C22" w:rsidRDefault="00B313CB">
      <w:pPr>
        <w:pStyle w:val="ParagrapheIndent2"/>
        <w:spacing w:line="232" w:lineRule="exact"/>
        <w:ind w:left="20" w:right="20"/>
        <w:jc w:val="both"/>
        <w:rPr>
          <w:color w:val="000000"/>
          <w:lang w:val="fr-FR"/>
        </w:rPr>
      </w:pPr>
      <w:r>
        <w:rPr>
          <w:color w:val="000000"/>
          <w:lang w:val="fr-FR"/>
        </w:rPr>
        <w:t>Les prestations sont réparties en 2 lots :</w:t>
      </w:r>
    </w:p>
    <w:p w:rsidR="00DD0C22" w:rsidRDefault="00DD0C22">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1800"/>
        <w:gridCol w:w="6800"/>
      </w:tblGrid>
      <w:tr w:rsidR="00DD0C22">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DD0C22">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Location de 8 véhicules thermiques</w:t>
            </w:r>
          </w:p>
        </w:tc>
      </w:tr>
      <w:tr w:rsidR="00DD0C22">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Location de 8 véhicules hybrides non rechargeables</w:t>
            </w:r>
          </w:p>
        </w:tc>
      </w:tr>
    </w:tbl>
    <w:p w:rsidR="00DD0C22" w:rsidRDefault="00B313CB">
      <w:pPr>
        <w:spacing w:line="240" w:lineRule="exact"/>
      </w:pPr>
      <w:r>
        <w:t xml:space="preserve"> </w:t>
      </w:r>
    </w:p>
    <w:p w:rsidR="00DD0C22" w:rsidRDefault="00B313CB">
      <w:pPr>
        <w:pStyle w:val="ParagrapheIndent2"/>
        <w:spacing w:after="240"/>
        <w:ind w:left="20" w:right="20"/>
        <w:jc w:val="both"/>
        <w:rPr>
          <w:color w:val="000000"/>
          <w:lang w:val="fr-FR"/>
        </w:rPr>
      </w:pPr>
      <w:r>
        <w:rPr>
          <w:color w:val="000000"/>
          <w:lang w:val="fr-FR"/>
        </w:rPr>
        <w:t>Chaque lot fera l'objet d'un marché.</w:t>
      </w:r>
    </w:p>
    <w:p w:rsidR="00DD0C22" w:rsidRDefault="00B313CB">
      <w:pPr>
        <w:pStyle w:val="ParagrapheIndent2"/>
        <w:spacing w:after="240"/>
        <w:ind w:left="20" w:right="20"/>
        <w:jc w:val="both"/>
        <w:rPr>
          <w:color w:val="000000"/>
          <w:lang w:val="fr-FR"/>
        </w:rPr>
      </w:pPr>
      <w:r>
        <w:rPr>
          <w:color w:val="000000"/>
          <w:lang w:val="fr-FR"/>
        </w:rPr>
        <w:t>Les candidats ont la possibilité de soumettre des offres pour tous les lots.</w:t>
      </w:r>
    </w:p>
    <w:p w:rsidR="00DD0C22" w:rsidRDefault="00B313CB">
      <w:pPr>
        <w:pStyle w:val="Titre2"/>
        <w:ind w:left="300" w:right="20"/>
        <w:rPr>
          <w:rFonts w:ascii="Trebuchet MS" w:eastAsia="Trebuchet MS" w:hAnsi="Trebuchet MS" w:cs="Trebuchet MS"/>
          <w:i w:val="0"/>
          <w:color w:val="000000"/>
          <w:sz w:val="24"/>
          <w:lang w:val="fr-FR"/>
        </w:rPr>
      </w:pPr>
      <w:bookmarkStart w:id="6" w:name="_Toc53669927"/>
      <w:r>
        <w:rPr>
          <w:rFonts w:ascii="Trebuchet MS" w:eastAsia="Trebuchet MS" w:hAnsi="Trebuchet MS" w:cs="Trebuchet MS"/>
          <w:i w:val="0"/>
          <w:color w:val="000000"/>
          <w:sz w:val="24"/>
          <w:lang w:val="fr-FR"/>
        </w:rPr>
        <w:t>1.5 - Nomenclature</w:t>
      </w:r>
      <w:bookmarkEnd w:id="6"/>
    </w:p>
    <w:p w:rsidR="00DD0C22" w:rsidRDefault="00B313CB">
      <w:pPr>
        <w:pStyle w:val="ParagrapheIndent2"/>
        <w:spacing w:line="232" w:lineRule="exact"/>
        <w:ind w:left="20" w:right="20"/>
        <w:jc w:val="both"/>
        <w:rPr>
          <w:color w:val="000000"/>
          <w:lang w:val="fr-FR"/>
        </w:rPr>
      </w:pPr>
      <w:r>
        <w:rPr>
          <w:color w:val="000000"/>
          <w:lang w:val="fr-FR"/>
        </w:rPr>
        <w:t>La classification conforme au vocabulaire commun des marchés européens (CPV) est :</w:t>
      </w:r>
    </w:p>
    <w:p w:rsidR="00DD0C22" w:rsidRDefault="00DD0C22">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5200"/>
        <w:gridCol w:w="1000"/>
        <w:gridCol w:w="1000"/>
        <w:gridCol w:w="1000"/>
      </w:tblGrid>
      <w:tr w:rsidR="00DD0C22">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 3</w:t>
            </w:r>
          </w:p>
        </w:tc>
      </w:tr>
      <w:tr w:rsidR="00DD0C22">
        <w:trPr>
          <w:trHeight w:val="36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34100000-8</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Véhicules à moteur</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r>
    </w:tbl>
    <w:p w:rsidR="00DD0C22" w:rsidRDefault="00B313CB">
      <w:pPr>
        <w:spacing w:line="240" w:lineRule="exact"/>
      </w:pPr>
      <w:r>
        <w:t xml:space="preserve"> </w:t>
      </w:r>
    </w:p>
    <w:tbl>
      <w:tblPr>
        <w:tblW w:w="0" w:type="auto"/>
        <w:tblInd w:w="20" w:type="dxa"/>
        <w:tblLayout w:type="fixed"/>
        <w:tblLook w:val="04A0" w:firstRow="1" w:lastRow="0" w:firstColumn="1" w:lastColumn="0" w:noHBand="0" w:noVBand="1"/>
      </w:tblPr>
      <w:tblGrid>
        <w:gridCol w:w="9600"/>
      </w:tblGrid>
      <w:tr w:rsidR="00DD0C22">
        <w:trPr>
          <w:trHeight w:val="1188"/>
        </w:trPr>
        <w:tc>
          <w:tcPr>
            <w:tcW w:w="9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200"/>
              <w:gridCol w:w="1240"/>
              <w:gridCol w:w="4160"/>
              <w:gridCol w:w="1000"/>
              <w:gridCol w:w="1000"/>
              <w:gridCol w:w="1000"/>
            </w:tblGrid>
            <w:tr w:rsidR="00DD0C22">
              <w:trPr>
                <w:trHeight w:val="520"/>
              </w:trPr>
              <w:tc>
                <w:tcPr>
                  <w:tcW w:w="1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2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41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suppl.</w:t>
                  </w:r>
                </w:p>
              </w:tc>
            </w:tr>
            <w:tr w:rsidR="00DD0C22">
              <w:trPr>
                <w:trHeight w:val="400"/>
              </w:trPr>
              <w:tc>
                <w:tcPr>
                  <w:tcW w:w="1200" w:type="dxa"/>
                  <w:tcBorders>
                    <w:top w:val="single" w:sz="2" w:space="0" w:color="000000"/>
                  </w:tcBorders>
                  <w:tcMar>
                    <w:top w:w="0" w:type="dxa"/>
                    <w:left w:w="0" w:type="dxa"/>
                    <w:bottom w:w="0" w:type="dxa"/>
                    <w:right w:w="0" w:type="dxa"/>
                  </w:tcMar>
                  <w:vAlign w:val="center"/>
                </w:tcPr>
                <w:p w:rsidR="00DD0C22" w:rsidRDefault="00B313C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34100000-8</w:t>
                  </w: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Véhicules à moteur</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r>
            <w:tr w:rsidR="00DD0C22">
              <w:trPr>
                <w:trHeight w:val="400"/>
              </w:trPr>
              <w:tc>
                <w:tcPr>
                  <w:tcW w:w="1200" w:type="dxa"/>
                  <w:tcBorders>
                    <w:top w:val="single" w:sz="2" w:space="0" w:color="000000"/>
                  </w:tcBorders>
                  <w:tcMar>
                    <w:top w:w="0" w:type="dxa"/>
                    <w:left w:w="0" w:type="dxa"/>
                    <w:bottom w:w="0" w:type="dxa"/>
                    <w:right w:w="0" w:type="dxa"/>
                  </w:tcMar>
                  <w:vAlign w:val="center"/>
                </w:tcPr>
                <w:p w:rsidR="00DD0C22" w:rsidRDefault="00B313C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34100000-8</w:t>
                  </w: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Véhicules à moteur</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DD0C22"/>
              </w:tc>
            </w:tr>
          </w:tbl>
          <w:p w:rsidR="00DD0C22" w:rsidRDefault="00DD0C22">
            <w:pPr>
              <w:rPr>
                <w:sz w:val="2"/>
              </w:rPr>
            </w:pPr>
          </w:p>
        </w:tc>
      </w:tr>
    </w:tbl>
    <w:p w:rsidR="00DD0C22" w:rsidRDefault="00B313CB">
      <w:pPr>
        <w:spacing w:line="240" w:lineRule="exact"/>
      </w:pPr>
      <w:r>
        <w:t xml:space="preserve"> </w:t>
      </w:r>
    </w:p>
    <w:p w:rsidR="00DD0C22" w:rsidRDefault="00B313CB">
      <w:pPr>
        <w:pStyle w:val="Titre2"/>
        <w:ind w:left="300" w:right="20"/>
        <w:rPr>
          <w:rFonts w:ascii="Trebuchet MS" w:eastAsia="Trebuchet MS" w:hAnsi="Trebuchet MS" w:cs="Trebuchet MS"/>
          <w:i w:val="0"/>
          <w:color w:val="000000"/>
          <w:sz w:val="24"/>
          <w:lang w:val="fr-FR"/>
        </w:rPr>
      </w:pPr>
      <w:bookmarkStart w:id="7" w:name="_Toc53669928"/>
      <w:r>
        <w:rPr>
          <w:rFonts w:ascii="Trebuchet MS" w:eastAsia="Trebuchet MS" w:hAnsi="Trebuchet MS" w:cs="Trebuchet MS"/>
          <w:i w:val="0"/>
          <w:color w:val="000000"/>
          <w:sz w:val="24"/>
          <w:lang w:val="fr-FR"/>
        </w:rPr>
        <w:t>1.6 - Réalisation de prestations similaires</w:t>
      </w:r>
      <w:bookmarkEnd w:id="7"/>
    </w:p>
    <w:p w:rsidR="00DD0C22" w:rsidRDefault="00B313CB" w:rsidP="006418D8">
      <w:pPr>
        <w:pStyle w:val="ParagrapheIndent2"/>
        <w:spacing w:line="232" w:lineRule="exact"/>
        <w:ind w:left="20" w:right="20"/>
        <w:jc w:val="both"/>
        <w:rPr>
          <w:sz w:val="2"/>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r>
        <w:rPr>
          <w:color w:val="000000"/>
          <w:lang w:val="fr-FR"/>
        </w:rPr>
        <w:cr/>
      </w:r>
    </w:p>
    <w:p w:rsidR="00DD0C22" w:rsidRDefault="00B313CB">
      <w:pPr>
        <w:pStyle w:val="Titre2"/>
        <w:ind w:left="300" w:right="20"/>
        <w:rPr>
          <w:rFonts w:ascii="Trebuchet MS" w:eastAsia="Trebuchet MS" w:hAnsi="Trebuchet MS" w:cs="Trebuchet MS"/>
          <w:i w:val="0"/>
          <w:color w:val="000000"/>
          <w:sz w:val="24"/>
          <w:lang w:val="fr-FR"/>
        </w:rPr>
      </w:pPr>
      <w:bookmarkStart w:id="8" w:name="_Toc53669929"/>
      <w:r>
        <w:rPr>
          <w:rFonts w:ascii="Trebuchet MS" w:eastAsia="Trebuchet MS" w:hAnsi="Trebuchet MS" w:cs="Trebuchet MS"/>
          <w:i w:val="0"/>
          <w:color w:val="000000"/>
          <w:sz w:val="24"/>
          <w:lang w:val="fr-FR"/>
        </w:rPr>
        <w:t>1.7 - Renouvellement</w:t>
      </w:r>
      <w:bookmarkEnd w:id="8"/>
    </w:p>
    <w:p w:rsidR="00DD0C22" w:rsidRDefault="00B313CB">
      <w:pPr>
        <w:pStyle w:val="ParagrapheIndent2"/>
        <w:spacing w:after="240"/>
        <w:ind w:left="20" w:right="20"/>
        <w:jc w:val="both"/>
        <w:rPr>
          <w:color w:val="000000"/>
          <w:lang w:val="fr-FR"/>
        </w:rPr>
      </w:pPr>
      <w:r>
        <w:rPr>
          <w:color w:val="000000"/>
          <w:lang w:val="fr-FR"/>
        </w:rPr>
        <w:t>Il s'agit d'un marché renouvelable en raison du caractère récurrent des prestations.</w:t>
      </w:r>
    </w:p>
    <w:p w:rsidR="00DD0C22" w:rsidRDefault="00B313CB">
      <w:pPr>
        <w:pStyle w:val="Titre1"/>
        <w:rPr>
          <w:rFonts w:ascii="Trebuchet MS" w:eastAsia="Trebuchet MS" w:hAnsi="Trebuchet MS" w:cs="Trebuchet MS"/>
          <w:color w:val="000000"/>
          <w:sz w:val="28"/>
          <w:lang w:val="fr-FR"/>
        </w:rPr>
      </w:pPr>
      <w:bookmarkStart w:id="9" w:name="_Toc53669930"/>
      <w:r>
        <w:rPr>
          <w:rFonts w:ascii="Trebuchet MS" w:eastAsia="Trebuchet MS" w:hAnsi="Trebuchet MS" w:cs="Trebuchet MS"/>
          <w:color w:val="000000"/>
          <w:sz w:val="28"/>
          <w:lang w:val="fr-FR"/>
        </w:rPr>
        <w:t>2 - Conditions de la consultation</w:t>
      </w:r>
      <w:bookmarkEnd w:id="9"/>
    </w:p>
    <w:p w:rsidR="00DD0C22" w:rsidRDefault="00B313CB">
      <w:pPr>
        <w:pStyle w:val="Titre2"/>
        <w:ind w:left="300" w:right="20"/>
        <w:rPr>
          <w:rFonts w:ascii="Trebuchet MS" w:eastAsia="Trebuchet MS" w:hAnsi="Trebuchet MS" w:cs="Trebuchet MS"/>
          <w:i w:val="0"/>
          <w:color w:val="000000"/>
          <w:sz w:val="24"/>
          <w:lang w:val="fr-FR"/>
        </w:rPr>
      </w:pPr>
      <w:bookmarkStart w:id="10" w:name="_Toc53669931"/>
      <w:r>
        <w:rPr>
          <w:rFonts w:ascii="Trebuchet MS" w:eastAsia="Trebuchet MS" w:hAnsi="Trebuchet MS" w:cs="Trebuchet MS"/>
          <w:i w:val="0"/>
          <w:color w:val="000000"/>
          <w:sz w:val="24"/>
          <w:lang w:val="fr-FR"/>
        </w:rPr>
        <w:t>2.1 - Délai de validité des offres</w:t>
      </w:r>
      <w:bookmarkEnd w:id="10"/>
    </w:p>
    <w:p w:rsidR="00DD0C22" w:rsidRDefault="00B313CB">
      <w:pPr>
        <w:pStyle w:val="ParagrapheIndent2"/>
        <w:spacing w:after="240"/>
        <w:ind w:left="20" w:right="20"/>
        <w:jc w:val="both"/>
        <w:rPr>
          <w:color w:val="000000"/>
          <w:lang w:val="fr-FR"/>
        </w:rPr>
      </w:pPr>
      <w:r>
        <w:rPr>
          <w:color w:val="000000"/>
          <w:lang w:val="fr-FR"/>
        </w:rPr>
        <w:t>Le délai de validité des offres est fixé à 4 mois à compter de la date limite de réception des offres.</w:t>
      </w:r>
    </w:p>
    <w:p w:rsidR="00DD0C22" w:rsidRDefault="00B313CB">
      <w:pPr>
        <w:pStyle w:val="Titre2"/>
        <w:ind w:left="300" w:right="20"/>
        <w:rPr>
          <w:rFonts w:ascii="Trebuchet MS" w:eastAsia="Trebuchet MS" w:hAnsi="Trebuchet MS" w:cs="Trebuchet MS"/>
          <w:i w:val="0"/>
          <w:color w:val="000000"/>
          <w:sz w:val="24"/>
          <w:lang w:val="fr-FR"/>
        </w:rPr>
      </w:pPr>
      <w:bookmarkStart w:id="11" w:name="_Toc53669932"/>
      <w:r>
        <w:rPr>
          <w:rFonts w:ascii="Trebuchet MS" w:eastAsia="Trebuchet MS" w:hAnsi="Trebuchet MS" w:cs="Trebuchet MS"/>
          <w:i w:val="0"/>
          <w:color w:val="000000"/>
          <w:sz w:val="24"/>
          <w:lang w:val="fr-FR"/>
        </w:rPr>
        <w:lastRenderedPageBreak/>
        <w:t>2.2 - Forme juridique du groupement</w:t>
      </w:r>
      <w:bookmarkEnd w:id="11"/>
    </w:p>
    <w:p w:rsidR="00DD0C22" w:rsidRDefault="00B313CB">
      <w:pPr>
        <w:pStyle w:val="ParagrapheIndent2"/>
        <w:spacing w:after="240"/>
        <w:ind w:left="20" w:right="20"/>
        <w:jc w:val="both"/>
        <w:rPr>
          <w:color w:val="000000"/>
          <w:lang w:val="fr-FR"/>
        </w:rPr>
      </w:pPr>
      <w:r>
        <w:rPr>
          <w:color w:val="000000"/>
          <w:lang w:val="fr-FR"/>
        </w:rPr>
        <w:t>Le pouvoir adjudicateur ne souhaite imposer aucune forme de groupement à l'attributaire du marché.</w:t>
      </w:r>
    </w:p>
    <w:p w:rsidR="00DD0C22" w:rsidRDefault="00B313CB">
      <w:pPr>
        <w:pStyle w:val="Titre2"/>
        <w:ind w:left="300" w:right="20"/>
        <w:rPr>
          <w:rFonts w:ascii="Trebuchet MS" w:eastAsia="Trebuchet MS" w:hAnsi="Trebuchet MS" w:cs="Trebuchet MS"/>
          <w:i w:val="0"/>
          <w:color w:val="000000"/>
          <w:sz w:val="24"/>
          <w:lang w:val="fr-FR"/>
        </w:rPr>
      </w:pPr>
      <w:bookmarkStart w:id="12" w:name="_Toc53669933"/>
      <w:r>
        <w:rPr>
          <w:rFonts w:ascii="Trebuchet MS" w:eastAsia="Trebuchet MS" w:hAnsi="Trebuchet MS" w:cs="Trebuchet MS"/>
          <w:i w:val="0"/>
          <w:color w:val="000000"/>
          <w:sz w:val="24"/>
          <w:lang w:val="fr-FR"/>
        </w:rPr>
        <w:t>2.3 - Variantes</w:t>
      </w:r>
      <w:bookmarkEnd w:id="12"/>
    </w:p>
    <w:p w:rsidR="00DD0C22" w:rsidRPr="006418D8" w:rsidRDefault="00B313CB" w:rsidP="006418D8">
      <w:pPr>
        <w:pStyle w:val="ParagrapheIndent2"/>
        <w:spacing w:line="232" w:lineRule="exact"/>
        <w:ind w:left="20" w:right="20"/>
        <w:jc w:val="both"/>
        <w:rPr>
          <w:color w:val="000000"/>
          <w:lang w:val="fr-FR"/>
        </w:rPr>
      </w:pPr>
      <w:r>
        <w:rPr>
          <w:color w:val="000000"/>
          <w:lang w:val="fr-FR"/>
        </w:rPr>
        <w:t>Les candidats doivent présenter une offre entièrement conforme au cahier des charges (solution de base). Ils peuvent également présenter, conformément aux articles R. 2151-8 à R. 2151-11 du Code de la commande publique, une offre comportant des variantes</w:t>
      </w:r>
      <w:r w:rsidR="006418D8">
        <w:rPr>
          <w:color w:val="000000"/>
          <w:lang w:val="fr-FR"/>
        </w:rPr>
        <w:t>.</w:t>
      </w:r>
      <w:r>
        <w:t xml:space="preserve"> </w:t>
      </w:r>
    </w:p>
    <w:p w:rsidR="00DD0C22" w:rsidRDefault="00DD0C22">
      <w:pPr>
        <w:spacing w:after="80" w:line="240" w:lineRule="exact"/>
      </w:pPr>
    </w:p>
    <w:p w:rsidR="00DD0C22" w:rsidRDefault="00B313CB">
      <w:pPr>
        <w:pStyle w:val="Titre2"/>
        <w:ind w:left="300" w:right="20"/>
        <w:rPr>
          <w:rFonts w:ascii="Trebuchet MS" w:eastAsia="Trebuchet MS" w:hAnsi="Trebuchet MS" w:cs="Trebuchet MS"/>
          <w:i w:val="0"/>
          <w:color w:val="000000"/>
          <w:sz w:val="24"/>
          <w:lang w:val="fr-FR"/>
        </w:rPr>
      </w:pPr>
      <w:bookmarkStart w:id="13" w:name="_Toc53669934"/>
      <w:r>
        <w:rPr>
          <w:rFonts w:ascii="Trebuchet MS" w:eastAsia="Trebuchet MS" w:hAnsi="Trebuchet MS" w:cs="Trebuchet MS"/>
          <w:i w:val="0"/>
          <w:color w:val="000000"/>
          <w:sz w:val="24"/>
          <w:lang w:val="fr-FR"/>
        </w:rPr>
        <w:t>2.4 - Variantes exigées</w:t>
      </w:r>
      <w:bookmarkEnd w:id="13"/>
    </w:p>
    <w:p w:rsidR="00DD0C22" w:rsidRDefault="00B313CB">
      <w:pPr>
        <w:pStyle w:val="ParagrapheIndent2"/>
        <w:spacing w:line="232" w:lineRule="exact"/>
        <w:ind w:left="20" w:right="20"/>
        <w:jc w:val="both"/>
        <w:rPr>
          <w:color w:val="000000"/>
          <w:lang w:val="fr-FR"/>
        </w:rPr>
      </w:pPr>
      <w:r>
        <w:rPr>
          <w:color w:val="000000"/>
          <w:lang w:val="fr-FR"/>
        </w:rPr>
        <w:t>Les candidats ont l'obligation de répondre à la solution de base et devront faire une proposition pour chacune des variantes exigées relatives au(x) lot(s) suivant(s) :</w:t>
      </w:r>
    </w:p>
    <w:p w:rsidR="00DD0C22" w:rsidRDefault="00DD0C22">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8600"/>
      </w:tblGrid>
      <w:tr w:rsidR="00DD0C22">
        <w:trPr>
          <w:trHeight w:val="918"/>
        </w:trPr>
        <w:tc>
          <w:tcPr>
            <w:tcW w:w="8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8600" w:type="dxa"/>
              <w:jc w:val="center"/>
              <w:tblLayout w:type="fixed"/>
              <w:tblLook w:val="04A0" w:firstRow="1" w:lastRow="0" w:firstColumn="1" w:lastColumn="0" w:noHBand="0" w:noVBand="1"/>
            </w:tblPr>
            <w:tblGrid>
              <w:gridCol w:w="600"/>
              <w:gridCol w:w="1014"/>
              <w:gridCol w:w="2886"/>
              <w:gridCol w:w="4100"/>
            </w:tblGrid>
            <w:tr w:rsidR="00DD0C22" w:rsidTr="00A63909">
              <w:trPr>
                <w:trHeight w:val="340"/>
                <w:jc w:val="center"/>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01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28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41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D0C22" w:rsidTr="00A63909">
              <w:trPr>
                <w:trHeight w:val="680"/>
                <w:jc w:val="center"/>
              </w:trPr>
              <w:tc>
                <w:tcPr>
                  <w:tcW w:w="600" w:type="dxa"/>
                  <w:tcBorders>
                    <w:top w:val="single" w:sz="2" w:space="0" w:color="000000"/>
                  </w:tcBorders>
                  <w:tcMar>
                    <w:top w:w="0" w:type="dxa"/>
                    <w:left w:w="0" w:type="dxa"/>
                    <w:bottom w:w="0" w:type="dxa"/>
                    <w:right w:w="0" w:type="dxa"/>
                  </w:tcMar>
                  <w:vAlign w:val="center"/>
                </w:tcPr>
                <w:p w:rsidR="00DD0C22" w:rsidRDefault="00B313C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01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Default="00B313CB">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Variante n°1</w:t>
                  </w:r>
                </w:p>
              </w:tc>
              <w:tc>
                <w:tcPr>
                  <w:tcW w:w="28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16 </w:t>
                  </w:r>
                  <w:r w:rsidR="006418D8">
                    <w:rPr>
                      <w:rFonts w:ascii="Trebuchet MS" w:eastAsia="Trebuchet MS" w:hAnsi="Trebuchet MS" w:cs="Trebuchet MS"/>
                      <w:color w:val="000000"/>
                      <w:sz w:val="20"/>
                      <w:lang w:val="fr-FR"/>
                    </w:rPr>
                    <w:t xml:space="preserve">véhicules </w:t>
                  </w:r>
                  <w:r>
                    <w:rPr>
                      <w:rFonts w:ascii="Trebuchet MS" w:eastAsia="Trebuchet MS" w:hAnsi="Trebuchet MS" w:cs="Trebuchet MS"/>
                      <w:color w:val="000000"/>
                      <w:sz w:val="20"/>
                      <w:lang w:val="fr-FR"/>
                    </w:rPr>
                    <w:t>hybrides</w:t>
                  </w:r>
                  <w:r w:rsidR="006418D8">
                    <w:rPr>
                      <w:rFonts w:ascii="Trebuchet MS" w:eastAsia="Trebuchet MS" w:hAnsi="Trebuchet MS" w:cs="Trebuchet MS"/>
                      <w:color w:val="000000"/>
                      <w:sz w:val="20"/>
                      <w:lang w:val="fr-FR"/>
                    </w:rPr>
                    <w:t xml:space="preserve"> non rechargeables</w:t>
                  </w:r>
                </w:p>
              </w:tc>
              <w:tc>
                <w:tcPr>
                  <w:tcW w:w="4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Variante obligatoire consistant à proposer 16 véhicules hybrides au lieu de 8 en offre de base</w:t>
                  </w:r>
                </w:p>
              </w:tc>
            </w:tr>
          </w:tbl>
          <w:p w:rsidR="00DD0C22" w:rsidRDefault="00DD0C22">
            <w:pPr>
              <w:rPr>
                <w:sz w:val="2"/>
              </w:rPr>
            </w:pPr>
          </w:p>
        </w:tc>
      </w:tr>
    </w:tbl>
    <w:p w:rsidR="00DD0C22" w:rsidRDefault="00B313CB" w:rsidP="006418D8">
      <w:pPr>
        <w:spacing w:after="80" w:line="240" w:lineRule="exact"/>
        <w:rPr>
          <w:color w:val="000000"/>
          <w:lang w:val="fr-FR"/>
        </w:rPr>
      </w:pPr>
      <w:r>
        <w:t xml:space="preserve"> </w:t>
      </w:r>
    </w:p>
    <w:p w:rsidR="00DD0C22" w:rsidRDefault="00B313CB">
      <w:pPr>
        <w:pStyle w:val="ParagrapheIndent2"/>
        <w:spacing w:after="240" w:line="232" w:lineRule="exact"/>
        <w:ind w:left="20" w:right="20"/>
        <w:jc w:val="both"/>
        <w:rPr>
          <w:color w:val="000000"/>
          <w:lang w:val="fr-FR"/>
        </w:rPr>
      </w:pPr>
      <w:r>
        <w:rPr>
          <w:color w:val="000000"/>
          <w:lang w:val="fr-FR"/>
        </w:rPr>
        <w:t>L'absence de ces prestations dans l'offre du candidat rendra cette dernière irrégulière et imposera son</w:t>
      </w:r>
      <w:r w:rsidR="006418D8">
        <w:rPr>
          <w:color w:val="000000"/>
          <w:lang w:val="fr-FR"/>
        </w:rPr>
        <w:t xml:space="preserve"> </w:t>
      </w:r>
      <w:r>
        <w:rPr>
          <w:color w:val="000000"/>
          <w:lang w:val="fr-FR"/>
        </w:rPr>
        <w:t>rejet.</w:t>
      </w:r>
    </w:p>
    <w:p w:rsidR="00DD0C22" w:rsidRDefault="00B313CB">
      <w:pPr>
        <w:pStyle w:val="Titre1"/>
        <w:rPr>
          <w:rFonts w:ascii="Trebuchet MS" w:eastAsia="Trebuchet MS" w:hAnsi="Trebuchet MS" w:cs="Trebuchet MS"/>
          <w:color w:val="000000"/>
          <w:sz w:val="28"/>
          <w:lang w:val="fr-FR"/>
        </w:rPr>
      </w:pPr>
      <w:bookmarkStart w:id="14" w:name="_Toc53669935"/>
      <w:r>
        <w:rPr>
          <w:rFonts w:ascii="Trebuchet MS" w:eastAsia="Trebuchet MS" w:hAnsi="Trebuchet MS" w:cs="Trebuchet MS"/>
          <w:color w:val="000000"/>
          <w:sz w:val="28"/>
          <w:lang w:val="fr-FR"/>
        </w:rPr>
        <w:t>3 - Conditions relatives au contrat</w:t>
      </w:r>
      <w:bookmarkEnd w:id="14"/>
    </w:p>
    <w:p w:rsidR="00DD0C22" w:rsidRDefault="00B313CB">
      <w:pPr>
        <w:pStyle w:val="Titre2"/>
        <w:ind w:left="300" w:right="20"/>
        <w:rPr>
          <w:rFonts w:ascii="Trebuchet MS" w:eastAsia="Trebuchet MS" w:hAnsi="Trebuchet MS" w:cs="Trebuchet MS"/>
          <w:i w:val="0"/>
          <w:color w:val="000000"/>
          <w:sz w:val="24"/>
          <w:lang w:val="fr-FR"/>
        </w:rPr>
      </w:pPr>
      <w:bookmarkStart w:id="15" w:name="_Toc53669936"/>
      <w:r>
        <w:rPr>
          <w:rFonts w:ascii="Trebuchet MS" w:eastAsia="Trebuchet MS" w:hAnsi="Trebuchet MS" w:cs="Trebuchet MS"/>
          <w:i w:val="0"/>
          <w:color w:val="000000"/>
          <w:sz w:val="24"/>
          <w:lang w:val="fr-FR"/>
        </w:rPr>
        <w:t>3.1 - Durée du contrat ou délai d'exécution</w:t>
      </w:r>
      <w:bookmarkEnd w:id="15"/>
    </w:p>
    <w:p w:rsidR="00DD0C22" w:rsidRDefault="00B313CB">
      <w:pPr>
        <w:pStyle w:val="ParagrapheIndent2"/>
        <w:spacing w:after="240"/>
        <w:ind w:left="20" w:right="20"/>
        <w:jc w:val="both"/>
        <w:rPr>
          <w:color w:val="000000"/>
          <w:lang w:val="fr-FR"/>
        </w:rPr>
      </w:pPr>
      <w:r>
        <w:rPr>
          <w:color w:val="000000"/>
          <w:lang w:val="fr-FR"/>
        </w:rPr>
        <w:t>La durée du contrat est fixée au CCAP.</w:t>
      </w:r>
    </w:p>
    <w:p w:rsidR="00DD0C22" w:rsidRDefault="00B313CB">
      <w:pPr>
        <w:pStyle w:val="Titre2"/>
        <w:ind w:left="300" w:right="20"/>
        <w:rPr>
          <w:rFonts w:ascii="Trebuchet MS" w:eastAsia="Trebuchet MS" w:hAnsi="Trebuchet MS" w:cs="Trebuchet MS"/>
          <w:i w:val="0"/>
          <w:color w:val="000000"/>
          <w:sz w:val="24"/>
          <w:lang w:val="fr-FR"/>
        </w:rPr>
      </w:pPr>
      <w:bookmarkStart w:id="16" w:name="_Toc53669937"/>
      <w:r>
        <w:rPr>
          <w:rFonts w:ascii="Trebuchet MS" w:eastAsia="Trebuchet MS" w:hAnsi="Trebuchet MS" w:cs="Trebuchet MS"/>
          <w:i w:val="0"/>
          <w:color w:val="000000"/>
          <w:sz w:val="24"/>
          <w:lang w:val="fr-FR"/>
        </w:rPr>
        <w:t>3.2 - Modalités essentielles de financement et de paiement</w:t>
      </w:r>
      <w:bookmarkEnd w:id="16"/>
    </w:p>
    <w:p w:rsidR="00DD0C22" w:rsidRDefault="00B313CB">
      <w:pPr>
        <w:pStyle w:val="ParagrapheIndent2"/>
        <w:spacing w:after="240"/>
        <w:ind w:left="20" w:right="20"/>
        <w:jc w:val="both"/>
        <w:rPr>
          <w:color w:val="000000"/>
          <w:lang w:val="fr-FR"/>
        </w:rPr>
      </w:pPr>
      <w:r>
        <w:rPr>
          <w:color w:val="000000"/>
          <w:lang w:val="fr-FR"/>
        </w:rPr>
        <w:t>Les prestations seront financées selon les modalités suivantes : Budget CCI Bordeaux Gironde</w:t>
      </w:r>
    </w:p>
    <w:p w:rsidR="00DD0C22" w:rsidRDefault="00B313CB" w:rsidP="006418D8">
      <w:pPr>
        <w:pStyle w:val="ParagrapheIndent2"/>
        <w:spacing w:line="232" w:lineRule="exact"/>
        <w:ind w:left="20" w:right="20"/>
        <w:jc w:val="both"/>
        <w:rPr>
          <w:sz w:val="2"/>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rsidR="00DD0C22" w:rsidRDefault="00B313CB">
      <w:pPr>
        <w:pStyle w:val="Titre1"/>
        <w:rPr>
          <w:rFonts w:ascii="Trebuchet MS" w:eastAsia="Trebuchet MS" w:hAnsi="Trebuchet MS" w:cs="Trebuchet MS"/>
          <w:color w:val="000000"/>
          <w:sz w:val="28"/>
          <w:lang w:val="fr-FR"/>
        </w:rPr>
      </w:pPr>
      <w:bookmarkStart w:id="17" w:name="_Toc53669938"/>
      <w:r>
        <w:rPr>
          <w:rFonts w:ascii="Trebuchet MS" w:eastAsia="Trebuchet MS" w:hAnsi="Trebuchet MS" w:cs="Trebuchet MS"/>
          <w:color w:val="000000"/>
          <w:sz w:val="28"/>
          <w:lang w:val="fr-FR"/>
        </w:rPr>
        <w:t>4 - Contenu du dossier de consultation</w:t>
      </w:r>
      <w:bookmarkEnd w:id="17"/>
    </w:p>
    <w:p w:rsidR="00DD0C22" w:rsidRDefault="00B313CB">
      <w:pPr>
        <w:pStyle w:val="ParagrapheIndent1"/>
        <w:spacing w:line="232" w:lineRule="exact"/>
        <w:ind w:left="20" w:right="20"/>
        <w:jc w:val="both"/>
        <w:rPr>
          <w:color w:val="000000"/>
          <w:lang w:val="fr-FR"/>
        </w:rPr>
      </w:pPr>
      <w:r>
        <w:rPr>
          <w:color w:val="000000"/>
          <w:lang w:val="fr-FR"/>
        </w:rPr>
        <w:t>Le dossier de consultation des entreprises (DCE) contient les pièces suivantes :</w:t>
      </w:r>
    </w:p>
    <w:p w:rsidR="00DD0C22" w:rsidRDefault="00DD0C22">
      <w:pPr>
        <w:pStyle w:val="ParagrapheIndent1"/>
        <w:spacing w:line="232" w:lineRule="exact"/>
        <w:ind w:left="20" w:right="20"/>
        <w:jc w:val="both"/>
        <w:rPr>
          <w:color w:val="000000"/>
          <w:lang w:val="fr-FR"/>
        </w:rPr>
      </w:pPr>
    </w:p>
    <w:p w:rsidR="00DD0C22" w:rsidRDefault="00B313CB">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règlement de la consultation (RC)</w:t>
      </w:r>
    </w:p>
    <w:p w:rsidR="00DD0C22" w:rsidRDefault="00B313CB">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L'acte d'engagement (AE) et ses annexes</w:t>
      </w:r>
    </w:p>
    <w:p w:rsidR="00DD0C22" w:rsidRDefault="00B313CB">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particulières (CCAP)</w:t>
      </w:r>
    </w:p>
    <w:p w:rsidR="00DD0C22" w:rsidRDefault="00B313CB">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techniques particulières (CCTP) et ses annexes</w:t>
      </w:r>
    </w:p>
    <w:p w:rsidR="00DD0C22" w:rsidRDefault="00B313CB">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décomposition du prix global forfaitaire (DPGF)</w:t>
      </w:r>
    </w:p>
    <w:p w:rsidR="00DD0C22" w:rsidRDefault="00B313CB">
      <w:pPr>
        <w:spacing w:after="100"/>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cadre du mémoire justificatif des dispositions que l'entreprise se propose d'adopter pour l'exécution du contrat</w:t>
      </w:r>
    </w:p>
    <w:p w:rsidR="00DD0C22" w:rsidRDefault="00B313CB">
      <w:pPr>
        <w:pStyle w:val="ParagrapheIndent1"/>
        <w:spacing w:after="240"/>
        <w:ind w:left="20" w:right="20"/>
        <w:jc w:val="both"/>
        <w:rPr>
          <w:color w:val="000000"/>
          <w:lang w:val="fr-FR"/>
        </w:rPr>
      </w:pPr>
      <w:r>
        <w:rPr>
          <w:color w:val="000000"/>
          <w:lang w:val="fr-FR"/>
        </w:rPr>
        <w:t>Il est remis gratuitement à chaque candidat.</w:t>
      </w:r>
    </w:p>
    <w:p w:rsidR="00DD0C22" w:rsidRDefault="00B313CB">
      <w:pPr>
        <w:pStyle w:val="ParagrapheIndent1"/>
        <w:spacing w:after="240"/>
        <w:ind w:left="20" w:right="20"/>
        <w:jc w:val="both"/>
        <w:rPr>
          <w:color w:val="000000"/>
          <w:lang w:val="fr-FR"/>
        </w:rPr>
      </w:pPr>
      <w:r>
        <w:rPr>
          <w:color w:val="000000"/>
          <w:lang w:val="fr-FR"/>
        </w:rPr>
        <w:t>Aucune demande d'envoi du DCE sur support physique électronique n'est autorisée.</w:t>
      </w:r>
    </w:p>
    <w:p w:rsidR="00DD0C22" w:rsidRDefault="00B313CB">
      <w:pPr>
        <w:pStyle w:val="ParagrapheIndent1"/>
        <w:spacing w:line="232" w:lineRule="exact"/>
        <w:ind w:left="20" w:right="20"/>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DD0C22" w:rsidRDefault="00DD0C22">
      <w:pPr>
        <w:pStyle w:val="ParagrapheIndent1"/>
        <w:spacing w:line="232" w:lineRule="exact"/>
        <w:ind w:left="20" w:right="20"/>
        <w:jc w:val="both"/>
        <w:rPr>
          <w:color w:val="000000"/>
          <w:lang w:val="fr-FR"/>
        </w:rPr>
      </w:pPr>
    </w:p>
    <w:p w:rsidR="00DD0C22" w:rsidRDefault="00B313CB">
      <w:pPr>
        <w:pStyle w:val="ParagrapheIndent1"/>
        <w:spacing w:after="240" w:line="232" w:lineRule="exact"/>
        <w:ind w:left="20" w:right="20"/>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rsidR="00DD0C22" w:rsidRDefault="00B313CB">
      <w:pPr>
        <w:pStyle w:val="Titre1"/>
        <w:rPr>
          <w:rFonts w:ascii="Trebuchet MS" w:eastAsia="Trebuchet MS" w:hAnsi="Trebuchet MS" w:cs="Trebuchet MS"/>
          <w:color w:val="000000"/>
          <w:sz w:val="28"/>
          <w:lang w:val="fr-FR"/>
        </w:rPr>
      </w:pPr>
      <w:bookmarkStart w:id="18" w:name="_Toc53669939"/>
      <w:r>
        <w:rPr>
          <w:rFonts w:ascii="Trebuchet MS" w:eastAsia="Trebuchet MS" w:hAnsi="Trebuchet MS" w:cs="Trebuchet MS"/>
          <w:color w:val="000000"/>
          <w:sz w:val="28"/>
          <w:lang w:val="fr-FR"/>
        </w:rPr>
        <w:lastRenderedPageBreak/>
        <w:t>5 - Présentation des candidatures et des offres</w:t>
      </w:r>
      <w:bookmarkEnd w:id="18"/>
    </w:p>
    <w:p w:rsidR="00DD0C22" w:rsidRDefault="00B313CB">
      <w:pPr>
        <w:pStyle w:val="ParagrapheIndent1"/>
        <w:spacing w:after="240" w:line="232" w:lineRule="exact"/>
        <w:ind w:left="20" w:right="20"/>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DD0C22" w:rsidRDefault="00B313CB">
      <w:pPr>
        <w:pStyle w:val="ParagrapheIndent1"/>
        <w:spacing w:line="232" w:lineRule="exact"/>
        <w:ind w:left="20" w:right="20"/>
        <w:jc w:val="both"/>
        <w:rPr>
          <w:color w:val="000000"/>
          <w:lang w:val="fr-FR"/>
        </w:rPr>
      </w:pPr>
      <w:r>
        <w:rPr>
          <w:color w:val="000000"/>
          <w:lang w:val="fr-FR"/>
        </w:rPr>
        <w:t>Les offres des candidats seront entièrement rédigées en langue française et exprimées en EURO.</w:t>
      </w:r>
    </w:p>
    <w:p w:rsidR="00DD0C22" w:rsidRDefault="00B313CB">
      <w:pPr>
        <w:pStyle w:val="ParagrapheIndent1"/>
        <w:spacing w:after="240" w:line="232" w:lineRule="exact"/>
        <w:ind w:left="20" w:right="20"/>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DD0C22" w:rsidRDefault="00B313CB">
      <w:pPr>
        <w:pStyle w:val="Titre2"/>
        <w:ind w:left="300" w:right="20"/>
        <w:rPr>
          <w:rFonts w:ascii="Trebuchet MS" w:eastAsia="Trebuchet MS" w:hAnsi="Trebuchet MS" w:cs="Trebuchet MS"/>
          <w:i w:val="0"/>
          <w:color w:val="000000"/>
          <w:sz w:val="24"/>
          <w:lang w:val="fr-FR"/>
        </w:rPr>
      </w:pPr>
      <w:bookmarkStart w:id="19" w:name="_Toc53669940"/>
      <w:r>
        <w:rPr>
          <w:rFonts w:ascii="Trebuchet MS" w:eastAsia="Trebuchet MS" w:hAnsi="Trebuchet MS" w:cs="Trebuchet MS"/>
          <w:i w:val="0"/>
          <w:color w:val="000000"/>
          <w:sz w:val="24"/>
          <w:lang w:val="fr-FR"/>
        </w:rPr>
        <w:t>5.1 - Documents à produire</w:t>
      </w:r>
      <w:bookmarkEnd w:id="19"/>
    </w:p>
    <w:p w:rsidR="00DD0C22" w:rsidRDefault="00B313CB">
      <w:pPr>
        <w:pStyle w:val="ParagrapheIndent2"/>
        <w:spacing w:line="232" w:lineRule="exact"/>
        <w:ind w:left="20" w:right="20"/>
        <w:jc w:val="both"/>
        <w:rPr>
          <w:color w:val="000000"/>
          <w:lang w:val="fr-FR"/>
        </w:rPr>
      </w:pPr>
      <w:r>
        <w:rPr>
          <w:color w:val="000000"/>
          <w:lang w:val="fr-FR"/>
        </w:rPr>
        <w:t>Chaque candidat aura à produire un dossier complet comprenant les pièces suivantes :</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line="232" w:lineRule="exact"/>
        <w:ind w:left="20" w:right="20"/>
        <w:jc w:val="both"/>
        <w:rPr>
          <w:color w:val="000000"/>
          <w:lang w:val="fr-FR"/>
        </w:rPr>
      </w:pPr>
      <w:r>
        <w:rPr>
          <w:color w:val="000000"/>
          <w:lang w:val="fr-FR"/>
        </w:rPr>
        <w:t>Pièces de la candidature telles que prévues aux articles L. 2142-1, R. 2142-3, R. 2142-4, R. 2143-3 et R. 2143-4 du Code de la commande publique :</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line="232" w:lineRule="exact"/>
        <w:ind w:left="20" w:right="20"/>
        <w:jc w:val="both"/>
        <w:rPr>
          <w:color w:val="000000"/>
          <w:lang w:val="fr-FR"/>
        </w:rPr>
      </w:pPr>
      <w:r>
        <w:rPr>
          <w:color w:val="000000"/>
          <w:lang w:val="fr-FR"/>
        </w:rPr>
        <w:t>Renseignements concernant la situation juridique de l'entreprise :</w:t>
      </w:r>
    </w:p>
    <w:p w:rsidR="00DD0C22" w:rsidRDefault="00DD0C22">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8400"/>
        <w:gridCol w:w="1200"/>
      </w:tblGrid>
      <w:tr w:rsidR="00DD0C22">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D0C22" w:rsidRPr="001E5F2F">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Pr="001E5F2F" w:rsidRDefault="00B313CB">
            <w:pPr>
              <w:spacing w:line="232" w:lineRule="exact"/>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Pr="001E5F2F" w:rsidRDefault="00B313CB">
            <w:pPr>
              <w:spacing w:before="100" w:after="20"/>
              <w:ind w:left="80" w:right="80"/>
              <w:jc w:val="center"/>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Non</w:t>
            </w:r>
          </w:p>
        </w:tc>
      </w:tr>
    </w:tbl>
    <w:p w:rsidR="00DD0C22" w:rsidRDefault="00B313CB">
      <w:pPr>
        <w:spacing w:line="240" w:lineRule="exact"/>
      </w:pPr>
      <w:r>
        <w:t xml:space="preserve"> </w:t>
      </w:r>
    </w:p>
    <w:p w:rsidR="00DD0C22" w:rsidRDefault="00B313CB">
      <w:pPr>
        <w:pStyle w:val="ParagrapheIndent2"/>
        <w:spacing w:line="232" w:lineRule="exact"/>
        <w:ind w:left="20" w:right="20"/>
        <w:jc w:val="both"/>
        <w:rPr>
          <w:color w:val="000000"/>
          <w:lang w:val="fr-FR"/>
        </w:rPr>
      </w:pPr>
      <w:r>
        <w:rPr>
          <w:color w:val="000000"/>
          <w:lang w:val="fr-FR"/>
        </w:rPr>
        <w:t>Renseignements concernant la capacité économique et financière de l'entreprise :</w:t>
      </w:r>
    </w:p>
    <w:p w:rsidR="00DD0C22" w:rsidRDefault="00DD0C22">
      <w:pPr>
        <w:pStyle w:val="ParagrapheIndent2"/>
        <w:spacing w:line="232" w:lineRule="exact"/>
        <w:ind w:left="20" w:right="20"/>
        <w:jc w:val="both"/>
        <w:rPr>
          <w:color w:val="000000"/>
          <w:lang w:val="fr-FR"/>
        </w:rPr>
      </w:pPr>
    </w:p>
    <w:tbl>
      <w:tblPr>
        <w:tblW w:w="9622" w:type="dxa"/>
        <w:tblInd w:w="20" w:type="dxa"/>
        <w:tblLayout w:type="fixed"/>
        <w:tblLook w:val="04A0" w:firstRow="1" w:lastRow="0" w:firstColumn="1" w:lastColumn="0" w:noHBand="0" w:noVBand="1"/>
      </w:tblPr>
      <w:tblGrid>
        <w:gridCol w:w="9622"/>
      </w:tblGrid>
      <w:tr w:rsidR="006418D8" w:rsidTr="006418D8">
        <w:trPr>
          <w:trHeight w:val="306"/>
        </w:trPr>
        <w:tc>
          <w:tcPr>
            <w:tcW w:w="962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418D8" w:rsidRDefault="006418D8">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6418D8" w:rsidRPr="001E5F2F" w:rsidTr="006418D8">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418D8" w:rsidRPr="001E5F2F" w:rsidRDefault="006418D8">
            <w:pPr>
              <w:spacing w:line="232" w:lineRule="exact"/>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Déclaration appropriée de banques ou preuve d'une assurance pour les risques professionnels</w:t>
            </w:r>
          </w:p>
        </w:tc>
      </w:tr>
    </w:tbl>
    <w:p w:rsidR="00DD0C22" w:rsidRDefault="00DD0C22">
      <w:pPr>
        <w:spacing w:after="20" w:line="240" w:lineRule="exact"/>
      </w:pPr>
    </w:p>
    <w:p w:rsidR="006418D8" w:rsidRDefault="00B313CB" w:rsidP="006418D8">
      <w:pPr>
        <w:pStyle w:val="ParagrapheIndent2"/>
        <w:ind w:left="20" w:right="20"/>
        <w:jc w:val="both"/>
        <w:rPr>
          <w:b/>
          <w:color w:val="000000"/>
          <w:lang w:val="fr-FR"/>
        </w:rPr>
      </w:pPr>
      <w:r>
        <w:rPr>
          <w:color w:val="000000"/>
          <w:lang w:val="fr-FR"/>
        </w:rPr>
        <w:t xml:space="preserve">Pour présenter leur candidature, </w:t>
      </w:r>
      <w:r>
        <w:rPr>
          <w:b/>
          <w:color w:val="000000"/>
          <w:lang w:val="fr-FR"/>
        </w:rPr>
        <w:t>les candidats utilisent soit les formulaires</w:t>
      </w:r>
      <w:r w:rsidR="006418D8">
        <w:rPr>
          <w:b/>
          <w:color w:val="000000"/>
          <w:lang w:val="fr-FR"/>
        </w:rPr>
        <w:t> :</w:t>
      </w:r>
    </w:p>
    <w:p w:rsidR="006418D8" w:rsidRPr="001E5F2F" w:rsidRDefault="00B313CB" w:rsidP="006418D8">
      <w:pPr>
        <w:pStyle w:val="ParagrapheIndent2"/>
        <w:numPr>
          <w:ilvl w:val="0"/>
          <w:numId w:val="1"/>
        </w:numPr>
        <w:ind w:right="20"/>
        <w:jc w:val="both"/>
        <w:rPr>
          <w:color w:val="000000"/>
          <w:highlight w:val="yellow"/>
          <w:lang w:val="fr-FR"/>
        </w:rPr>
      </w:pPr>
      <w:r w:rsidRPr="001E5F2F">
        <w:rPr>
          <w:b/>
          <w:color w:val="000000"/>
          <w:highlight w:val="yellow"/>
          <w:lang w:val="fr-FR"/>
        </w:rPr>
        <w:t xml:space="preserve">DC1 (lettre de candidature) et </w:t>
      </w:r>
    </w:p>
    <w:p w:rsidR="006418D8" w:rsidRPr="001E5F2F" w:rsidRDefault="00B313CB" w:rsidP="006418D8">
      <w:pPr>
        <w:pStyle w:val="ParagrapheIndent2"/>
        <w:numPr>
          <w:ilvl w:val="0"/>
          <w:numId w:val="1"/>
        </w:numPr>
        <w:ind w:right="20"/>
        <w:jc w:val="both"/>
        <w:rPr>
          <w:color w:val="000000"/>
          <w:highlight w:val="yellow"/>
          <w:lang w:val="fr-FR"/>
        </w:rPr>
      </w:pPr>
      <w:r w:rsidRPr="001E5F2F">
        <w:rPr>
          <w:b/>
          <w:color w:val="000000"/>
          <w:highlight w:val="yellow"/>
          <w:lang w:val="fr-FR"/>
        </w:rPr>
        <w:t>DC2 (déclaration du candidat).</w:t>
      </w:r>
      <w:r w:rsidRPr="001E5F2F">
        <w:rPr>
          <w:color w:val="000000"/>
          <w:highlight w:val="yellow"/>
          <w:lang w:val="fr-FR"/>
        </w:rPr>
        <w:t xml:space="preserve"> </w:t>
      </w:r>
    </w:p>
    <w:p w:rsidR="00DD0C22" w:rsidRDefault="00B313CB" w:rsidP="006418D8">
      <w:pPr>
        <w:pStyle w:val="ParagrapheIndent2"/>
        <w:ind w:right="20"/>
        <w:jc w:val="both"/>
        <w:rPr>
          <w:color w:val="000000"/>
          <w:lang w:val="fr-FR"/>
        </w:rPr>
      </w:pPr>
      <w:proofErr w:type="gramStart"/>
      <w:r>
        <w:rPr>
          <w:color w:val="000000"/>
          <w:lang w:val="fr-FR"/>
        </w:rPr>
        <w:t>disponibles</w:t>
      </w:r>
      <w:proofErr w:type="gramEnd"/>
      <w:r>
        <w:rPr>
          <w:color w:val="000000"/>
          <w:lang w:val="fr-FR"/>
        </w:rPr>
        <w:t xml:space="preserve"> gratuitement sur le site www.economie.gouv.fr, soit le Document Unique de Marché Européen (DUME)</w:t>
      </w:r>
    </w:p>
    <w:p w:rsidR="006418D8" w:rsidRPr="006418D8" w:rsidRDefault="006418D8" w:rsidP="006418D8">
      <w:pPr>
        <w:rPr>
          <w:lang w:val="fr-FR"/>
        </w:rPr>
      </w:pPr>
    </w:p>
    <w:p w:rsidR="00DD0C22" w:rsidRDefault="00B313CB">
      <w:pPr>
        <w:pStyle w:val="ParagrapheIndent2"/>
        <w:spacing w:after="240" w:line="232" w:lineRule="exact"/>
        <w:ind w:left="20" w:right="20"/>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DD0C22" w:rsidRDefault="00B313CB">
      <w:pPr>
        <w:pStyle w:val="ParagrapheIndent2"/>
        <w:spacing w:line="232" w:lineRule="exact"/>
        <w:ind w:left="20" w:right="20"/>
        <w:jc w:val="both"/>
        <w:rPr>
          <w:color w:val="000000"/>
          <w:lang w:val="fr-FR"/>
        </w:rPr>
      </w:pPr>
      <w:r>
        <w:rPr>
          <w:color w:val="000000"/>
          <w:lang w:val="fr-FR"/>
        </w:rPr>
        <w:t>Pièces de l'offre :</w:t>
      </w:r>
    </w:p>
    <w:p w:rsidR="00DD0C22" w:rsidRDefault="00DD0C22">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8400"/>
        <w:gridCol w:w="1200"/>
      </w:tblGrid>
      <w:tr w:rsidR="00DD0C22">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D0C22" w:rsidRPr="001E5F2F" w:rsidTr="006418D8">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jc w:val="center"/>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Oui</w:t>
            </w:r>
          </w:p>
        </w:tc>
      </w:tr>
      <w:tr w:rsidR="00DD0C22" w:rsidRPr="001E5F2F" w:rsidTr="006418D8">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jc w:val="center"/>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Oui</w:t>
            </w:r>
          </w:p>
        </w:tc>
      </w:tr>
      <w:tr w:rsidR="00DD0C22" w:rsidRPr="001E5F2F" w:rsidTr="006418D8">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spacing w:line="232" w:lineRule="exact"/>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jc w:val="center"/>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Oui</w:t>
            </w:r>
          </w:p>
        </w:tc>
      </w:tr>
      <w:tr w:rsidR="00DD0C22" w:rsidRPr="001E5F2F" w:rsidTr="006418D8">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DD0C22" w:rsidRPr="001E5F2F" w:rsidRDefault="00B313CB" w:rsidP="006418D8">
            <w:pPr>
              <w:ind w:left="80" w:right="80"/>
              <w:jc w:val="center"/>
              <w:rPr>
                <w:rFonts w:ascii="Trebuchet MS" w:eastAsia="Trebuchet MS" w:hAnsi="Trebuchet MS" w:cs="Trebuchet MS"/>
                <w:color w:val="000000"/>
                <w:sz w:val="20"/>
                <w:highlight w:val="yellow"/>
                <w:lang w:val="fr-FR"/>
              </w:rPr>
            </w:pPr>
            <w:r w:rsidRPr="001E5F2F">
              <w:rPr>
                <w:rFonts w:ascii="Trebuchet MS" w:eastAsia="Trebuchet MS" w:hAnsi="Trebuchet MS" w:cs="Trebuchet MS"/>
                <w:color w:val="000000"/>
                <w:sz w:val="20"/>
                <w:highlight w:val="yellow"/>
                <w:lang w:val="fr-FR"/>
              </w:rPr>
              <w:t>Oui</w:t>
            </w:r>
          </w:p>
        </w:tc>
      </w:tr>
    </w:tbl>
    <w:p w:rsidR="00DD0C22" w:rsidRDefault="00B313CB">
      <w:pPr>
        <w:spacing w:line="240" w:lineRule="exact"/>
      </w:pPr>
      <w:r>
        <w:t xml:space="preserve"> </w:t>
      </w:r>
    </w:p>
    <w:p w:rsidR="00DD0C22" w:rsidRDefault="00B313CB">
      <w:pPr>
        <w:pStyle w:val="ParagrapheIndent2"/>
        <w:spacing w:after="240" w:line="232" w:lineRule="exact"/>
        <w:ind w:left="20" w:right="20"/>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DD0C22" w:rsidRDefault="00B313CB">
      <w:pPr>
        <w:pStyle w:val="Titre2"/>
        <w:ind w:left="300" w:right="20"/>
        <w:rPr>
          <w:rFonts w:ascii="Trebuchet MS" w:eastAsia="Trebuchet MS" w:hAnsi="Trebuchet MS" w:cs="Trebuchet MS"/>
          <w:i w:val="0"/>
          <w:color w:val="000000"/>
          <w:sz w:val="24"/>
          <w:lang w:val="fr-FR"/>
        </w:rPr>
      </w:pPr>
      <w:bookmarkStart w:id="20" w:name="_Toc53669941"/>
      <w:r>
        <w:rPr>
          <w:rFonts w:ascii="Trebuchet MS" w:eastAsia="Trebuchet MS" w:hAnsi="Trebuchet MS" w:cs="Trebuchet MS"/>
          <w:i w:val="0"/>
          <w:color w:val="000000"/>
          <w:sz w:val="24"/>
          <w:lang w:val="fr-FR"/>
        </w:rPr>
        <w:t>5.2 - Présentation des variantes</w:t>
      </w:r>
      <w:bookmarkEnd w:id="20"/>
    </w:p>
    <w:p w:rsidR="00DD0C22" w:rsidRDefault="00B313CB">
      <w:pPr>
        <w:pStyle w:val="ParagrapheIndent2"/>
        <w:spacing w:after="240" w:line="232" w:lineRule="exact"/>
        <w:ind w:left="20" w:right="20"/>
        <w:jc w:val="both"/>
        <w:rPr>
          <w:color w:val="000000"/>
          <w:lang w:val="fr-FR"/>
        </w:rPr>
      </w:pPr>
      <w:r>
        <w:rPr>
          <w:color w:val="000000"/>
          <w:lang w:val="fr-FR"/>
        </w:rPr>
        <w:t xml:space="preserve">Les candidats présenteront un dossier général " variantes " comportant un sous-dossier particulier pour chaque variante qu'ils proposent. Outre les répercussions de chaque variante sur le montant de leur offre </w:t>
      </w:r>
      <w:r>
        <w:rPr>
          <w:color w:val="000000"/>
          <w:lang w:val="fr-FR"/>
        </w:rPr>
        <w:lastRenderedPageBreak/>
        <w:t>de base, ils indiqueront les adaptations à apporter tout en respectant les exigences minimales indiquées au cahier des charges.</w:t>
      </w:r>
    </w:p>
    <w:p w:rsidR="00DD0C22" w:rsidRDefault="00B313CB">
      <w:pPr>
        <w:pStyle w:val="Titre2"/>
        <w:ind w:left="300" w:right="20"/>
        <w:rPr>
          <w:rFonts w:ascii="Trebuchet MS" w:eastAsia="Trebuchet MS" w:hAnsi="Trebuchet MS" w:cs="Trebuchet MS"/>
          <w:i w:val="0"/>
          <w:color w:val="000000"/>
          <w:sz w:val="24"/>
          <w:lang w:val="fr-FR"/>
        </w:rPr>
      </w:pPr>
      <w:bookmarkStart w:id="21" w:name="_Toc53669942"/>
      <w:r>
        <w:rPr>
          <w:rFonts w:ascii="Trebuchet MS" w:eastAsia="Trebuchet MS" w:hAnsi="Trebuchet MS" w:cs="Trebuchet MS"/>
          <w:i w:val="0"/>
          <w:color w:val="000000"/>
          <w:sz w:val="24"/>
          <w:lang w:val="fr-FR"/>
        </w:rPr>
        <w:t>5.3 - Présentation des variantes exigées</w:t>
      </w:r>
      <w:bookmarkEnd w:id="21"/>
    </w:p>
    <w:p w:rsidR="00DD0C22" w:rsidRDefault="00B313CB">
      <w:pPr>
        <w:pStyle w:val="ParagrapheIndent2"/>
        <w:spacing w:after="240" w:line="232" w:lineRule="exact"/>
        <w:ind w:left="20" w:right="20"/>
        <w:jc w:val="both"/>
        <w:rPr>
          <w:color w:val="000000"/>
          <w:lang w:val="fr-FR"/>
        </w:rPr>
      </w:pPr>
      <w:r>
        <w:rPr>
          <w:color w:val="000000"/>
          <w:lang w:val="fr-FR"/>
        </w:rPr>
        <w:t>Les candidats présenteront un dossier général "variantes exigées" comportant un sous-dossier pour chacune de ces prestations. Chaque prestation sera chiffrée dans l'acte d'engagement, en complément de l'offre de base.</w:t>
      </w:r>
    </w:p>
    <w:p w:rsidR="00DD0C22" w:rsidRDefault="00B313CB">
      <w:pPr>
        <w:pStyle w:val="Titre1"/>
        <w:rPr>
          <w:rFonts w:ascii="Trebuchet MS" w:eastAsia="Trebuchet MS" w:hAnsi="Trebuchet MS" w:cs="Trebuchet MS"/>
          <w:color w:val="000000"/>
          <w:sz w:val="28"/>
          <w:lang w:val="fr-FR"/>
        </w:rPr>
      </w:pPr>
      <w:bookmarkStart w:id="22" w:name="_Toc53669943"/>
      <w:r>
        <w:rPr>
          <w:rFonts w:ascii="Trebuchet MS" w:eastAsia="Trebuchet MS" w:hAnsi="Trebuchet MS" w:cs="Trebuchet MS"/>
          <w:color w:val="000000"/>
          <w:sz w:val="28"/>
          <w:lang w:val="fr-FR"/>
        </w:rPr>
        <w:t>6 - Conditions d'envoi ou de remise des plis</w:t>
      </w:r>
      <w:bookmarkEnd w:id="22"/>
    </w:p>
    <w:p w:rsidR="00DD0C22" w:rsidRDefault="00B313CB">
      <w:pPr>
        <w:pStyle w:val="ParagrapheIndent1"/>
        <w:spacing w:after="240" w:line="232" w:lineRule="exact"/>
        <w:ind w:left="20" w:right="20"/>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DD0C22" w:rsidRDefault="00B313CB">
      <w:pPr>
        <w:pStyle w:val="Titre2"/>
        <w:ind w:left="300" w:right="20"/>
        <w:rPr>
          <w:rFonts w:ascii="Trebuchet MS" w:eastAsia="Trebuchet MS" w:hAnsi="Trebuchet MS" w:cs="Trebuchet MS"/>
          <w:i w:val="0"/>
          <w:color w:val="000000"/>
          <w:sz w:val="24"/>
          <w:lang w:val="fr-FR"/>
        </w:rPr>
      </w:pPr>
      <w:bookmarkStart w:id="23" w:name="_Toc53669944"/>
      <w:r>
        <w:rPr>
          <w:rFonts w:ascii="Trebuchet MS" w:eastAsia="Trebuchet MS" w:hAnsi="Trebuchet MS" w:cs="Trebuchet MS"/>
          <w:i w:val="0"/>
          <w:color w:val="000000"/>
          <w:sz w:val="24"/>
          <w:lang w:val="fr-FR"/>
        </w:rPr>
        <w:t>6.1 - Transmission électronique</w:t>
      </w:r>
      <w:bookmarkEnd w:id="23"/>
    </w:p>
    <w:p w:rsidR="00DD0C22" w:rsidRDefault="00B313CB">
      <w:pPr>
        <w:pStyle w:val="ParagrapheIndent2"/>
        <w:spacing w:line="232" w:lineRule="exact"/>
        <w:ind w:left="20" w:right="20"/>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after="240" w:line="232" w:lineRule="exact"/>
        <w:ind w:left="20" w:right="20"/>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rsidR="00DD0C22" w:rsidRDefault="00B313CB">
      <w:pPr>
        <w:pStyle w:val="ParagrapheIndent2"/>
        <w:spacing w:line="232" w:lineRule="exact"/>
        <w:ind w:left="20" w:right="20"/>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rsidR="00DD0C22" w:rsidRDefault="00DD0C22">
      <w:pPr>
        <w:pStyle w:val="ParagrapheIndent2"/>
        <w:spacing w:line="232" w:lineRule="exact"/>
        <w:ind w:left="20" w:right="20"/>
        <w:jc w:val="both"/>
        <w:rPr>
          <w:color w:val="000000"/>
          <w:lang w:val="fr-FR"/>
        </w:rPr>
      </w:pPr>
    </w:p>
    <w:p w:rsidR="00DD0C22" w:rsidRDefault="00B313CB" w:rsidP="006418D8">
      <w:pPr>
        <w:pStyle w:val="ParagrapheIndent2"/>
        <w:spacing w:after="100" w:line="232" w:lineRule="exact"/>
        <w:ind w:left="20" w:right="20"/>
        <w:jc w:val="both"/>
        <w:rPr>
          <w:color w:val="000000"/>
          <w:lang w:val="fr-FR"/>
        </w:rPr>
      </w:pPr>
      <w:r>
        <w:rPr>
          <w:color w:val="000000"/>
          <w:lang w:val="fr-FR"/>
        </w:rPr>
        <w:t xml:space="preserve">Chaque transmission fera l'objet d'une date certaine de réception et d'un accusé de réception </w:t>
      </w:r>
      <w:r w:rsidR="006418D8">
        <w:rPr>
          <w:color w:val="000000"/>
          <w:lang w:val="fr-FR"/>
        </w:rPr>
        <w:t>é</w:t>
      </w:r>
      <w:r>
        <w:rPr>
          <w:color w:val="000000"/>
          <w:lang w:val="fr-FR"/>
        </w:rPr>
        <w:t>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after="240" w:line="232" w:lineRule="exact"/>
        <w:ind w:left="20" w:right="20"/>
        <w:jc w:val="both"/>
        <w:rPr>
          <w:color w:val="000000"/>
          <w:lang w:val="fr-FR"/>
        </w:rPr>
      </w:pPr>
      <w:r>
        <w:rPr>
          <w:color w:val="000000"/>
          <w:lang w:val="fr-FR"/>
        </w:rPr>
        <w:t>Si une nouvelle offre est envoyée par voie électronique par le même candidat, celle-ci annule et remplace l'offre précédente.</w:t>
      </w:r>
    </w:p>
    <w:p w:rsidR="00DD0C22" w:rsidRDefault="00B313CB">
      <w:pPr>
        <w:pStyle w:val="ParagrapheIndent2"/>
        <w:spacing w:line="232" w:lineRule="exact"/>
        <w:ind w:left="20" w:right="20"/>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rsidR="00DD0C22" w:rsidRDefault="00B313CB">
      <w:pPr>
        <w:pStyle w:val="ParagrapheIndent2"/>
        <w:spacing w:line="232" w:lineRule="exact"/>
        <w:ind w:left="20" w:right="20"/>
        <w:jc w:val="both"/>
        <w:rPr>
          <w:color w:val="000000"/>
          <w:lang w:val="fr-FR"/>
        </w:rPr>
      </w:pPr>
      <w:r>
        <w:rPr>
          <w:color w:val="000000"/>
          <w:lang w:val="fr-FR"/>
        </w:rPr>
        <w:t>- lorsqu'un programme informatique malveillant est détecté dans le pli transmis par voie électronique ;</w:t>
      </w:r>
    </w:p>
    <w:p w:rsidR="00DD0C22" w:rsidRDefault="00B313CB">
      <w:pPr>
        <w:pStyle w:val="ParagrapheIndent2"/>
        <w:spacing w:line="232" w:lineRule="exact"/>
        <w:ind w:left="20" w:right="20"/>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line="232" w:lineRule="exact"/>
        <w:ind w:left="20" w:right="20"/>
        <w:jc w:val="both"/>
        <w:rPr>
          <w:color w:val="000000"/>
          <w:lang w:val="fr-FR"/>
        </w:rPr>
      </w:pPr>
      <w:r>
        <w:rPr>
          <w:color w:val="000000"/>
          <w:lang w:val="fr-FR"/>
        </w:rPr>
        <w:t>La copie de sauvegarde peut être transmise ou déposée à l'adresse suivante :</w:t>
      </w:r>
    </w:p>
    <w:p w:rsidR="00DD0C22" w:rsidRDefault="00B313CB">
      <w:pPr>
        <w:pStyle w:val="ParagrapheIndent2"/>
        <w:spacing w:after="240" w:line="232" w:lineRule="exact"/>
        <w:ind w:left="20" w:right="20"/>
        <w:jc w:val="both"/>
        <w:rPr>
          <w:color w:val="000000"/>
          <w:lang w:val="fr-FR"/>
        </w:rPr>
      </w:pPr>
      <w:r>
        <w:rPr>
          <w:color w:val="000000"/>
          <w:lang w:val="fr-FR"/>
        </w:rPr>
        <w:t>Non renseigné</w:t>
      </w:r>
    </w:p>
    <w:p w:rsidR="00DD0C22" w:rsidRDefault="00B313CB">
      <w:pPr>
        <w:pStyle w:val="ParagrapheIndent2"/>
        <w:spacing w:after="240" w:line="232" w:lineRule="exact"/>
        <w:ind w:left="20" w:right="20"/>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rsidR="00DD0C22" w:rsidRDefault="00B313CB">
      <w:pPr>
        <w:pStyle w:val="ParagrapheIndent2"/>
        <w:spacing w:after="240"/>
        <w:ind w:left="20" w:right="20"/>
        <w:jc w:val="both"/>
        <w:rPr>
          <w:color w:val="000000"/>
          <w:lang w:val="fr-FR"/>
        </w:rPr>
      </w:pPr>
      <w:r>
        <w:rPr>
          <w:color w:val="000000"/>
          <w:lang w:val="fr-FR"/>
        </w:rPr>
        <w:t>La signature électronique des documents n'est pas exigée dans le cadre de cette consultation.</w:t>
      </w:r>
    </w:p>
    <w:p w:rsidR="00DD0C22" w:rsidRDefault="00B313CB">
      <w:pPr>
        <w:pStyle w:val="ParagrapheIndent2"/>
        <w:spacing w:after="240" w:line="232" w:lineRule="exact"/>
        <w:ind w:left="20" w:right="20"/>
        <w:jc w:val="both"/>
        <w:rPr>
          <w:color w:val="000000"/>
          <w:lang w:val="fr-FR"/>
        </w:rPr>
      </w:pPr>
      <w:r>
        <w:rPr>
          <w:color w:val="000000"/>
          <w:lang w:val="fr-FR"/>
        </w:rPr>
        <w:t>La signature électronique du contrat par l'attributaire n'est pas exigée dans le cadre de cette consultation.</w:t>
      </w:r>
    </w:p>
    <w:p w:rsidR="00DD0C22" w:rsidRDefault="00B313CB">
      <w:pPr>
        <w:pStyle w:val="ParagrapheIndent2"/>
        <w:spacing w:after="240" w:line="232" w:lineRule="exact"/>
        <w:ind w:left="20" w:right="20"/>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rsidR="00DD0C22" w:rsidRDefault="00B313CB">
      <w:pPr>
        <w:pStyle w:val="ParagrapheIndent2"/>
        <w:spacing w:after="240"/>
        <w:ind w:left="20" w:right="20"/>
        <w:jc w:val="both"/>
        <w:rPr>
          <w:color w:val="000000"/>
          <w:lang w:val="fr-FR"/>
        </w:rPr>
      </w:pPr>
      <w:r>
        <w:rPr>
          <w:color w:val="000000"/>
          <w:lang w:val="fr-FR"/>
        </w:rPr>
        <w:t>Les frais d'accès au réseau et de recours à la signature électronique sont à la charge des candidats.</w:t>
      </w:r>
    </w:p>
    <w:p w:rsidR="00DD0C22" w:rsidRDefault="00B313CB">
      <w:pPr>
        <w:pStyle w:val="Titre2"/>
        <w:ind w:left="300" w:right="20"/>
        <w:rPr>
          <w:rFonts w:ascii="Trebuchet MS" w:eastAsia="Trebuchet MS" w:hAnsi="Trebuchet MS" w:cs="Trebuchet MS"/>
          <w:i w:val="0"/>
          <w:color w:val="000000"/>
          <w:sz w:val="24"/>
          <w:lang w:val="fr-FR"/>
        </w:rPr>
      </w:pPr>
      <w:bookmarkStart w:id="24" w:name="_Toc53669945"/>
      <w:r>
        <w:rPr>
          <w:rFonts w:ascii="Trebuchet MS" w:eastAsia="Trebuchet MS" w:hAnsi="Trebuchet MS" w:cs="Trebuchet MS"/>
          <w:i w:val="0"/>
          <w:color w:val="000000"/>
          <w:sz w:val="24"/>
          <w:lang w:val="fr-FR"/>
        </w:rPr>
        <w:t>6.2 - Transmission sous support papier</w:t>
      </w:r>
      <w:bookmarkEnd w:id="24"/>
    </w:p>
    <w:p w:rsidR="00DD0C22" w:rsidRDefault="00B313CB">
      <w:pPr>
        <w:pStyle w:val="ParagrapheIndent2"/>
        <w:spacing w:after="240" w:line="232" w:lineRule="exact"/>
        <w:ind w:left="20" w:right="20"/>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DD0C22" w:rsidRDefault="00B313CB">
      <w:pPr>
        <w:pStyle w:val="Titre1"/>
        <w:rPr>
          <w:rFonts w:ascii="Trebuchet MS" w:eastAsia="Trebuchet MS" w:hAnsi="Trebuchet MS" w:cs="Trebuchet MS"/>
          <w:color w:val="000000"/>
          <w:sz w:val="28"/>
          <w:lang w:val="fr-FR"/>
        </w:rPr>
      </w:pPr>
      <w:bookmarkStart w:id="25" w:name="_Toc53669946"/>
      <w:r>
        <w:rPr>
          <w:rFonts w:ascii="Trebuchet MS" w:eastAsia="Trebuchet MS" w:hAnsi="Trebuchet MS" w:cs="Trebuchet MS"/>
          <w:color w:val="000000"/>
          <w:sz w:val="28"/>
          <w:lang w:val="fr-FR"/>
        </w:rPr>
        <w:lastRenderedPageBreak/>
        <w:t>7 - Examen des candidatures et des offres</w:t>
      </w:r>
      <w:bookmarkEnd w:id="25"/>
    </w:p>
    <w:p w:rsidR="00DD0C22" w:rsidRDefault="00B313CB">
      <w:pPr>
        <w:pStyle w:val="Titre2"/>
        <w:ind w:left="300" w:right="20"/>
        <w:rPr>
          <w:rFonts w:ascii="Trebuchet MS" w:eastAsia="Trebuchet MS" w:hAnsi="Trebuchet MS" w:cs="Trebuchet MS"/>
          <w:i w:val="0"/>
          <w:color w:val="000000"/>
          <w:sz w:val="24"/>
          <w:lang w:val="fr-FR"/>
        </w:rPr>
      </w:pPr>
      <w:bookmarkStart w:id="26" w:name="_Toc53669947"/>
      <w:r>
        <w:rPr>
          <w:rFonts w:ascii="Trebuchet MS" w:eastAsia="Trebuchet MS" w:hAnsi="Trebuchet MS" w:cs="Trebuchet MS"/>
          <w:i w:val="0"/>
          <w:color w:val="000000"/>
          <w:sz w:val="24"/>
          <w:lang w:val="fr-FR"/>
        </w:rPr>
        <w:t>7.1 - Sélection des candidatures</w:t>
      </w:r>
      <w:bookmarkEnd w:id="26"/>
    </w:p>
    <w:p w:rsidR="00DD0C22" w:rsidRDefault="00B313CB">
      <w:pPr>
        <w:pStyle w:val="ParagrapheIndent2"/>
        <w:spacing w:after="240" w:line="232" w:lineRule="exact"/>
        <w:ind w:left="20" w:right="20"/>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rsidR="00DD0C22" w:rsidRDefault="00B313CB">
      <w:pPr>
        <w:pStyle w:val="ParagrapheIndent2"/>
        <w:spacing w:after="240" w:line="232" w:lineRule="exact"/>
        <w:ind w:left="20" w:right="20"/>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DD0C22" w:rsidRDefault="00B313CB">
      <w:pPr>
        <w:pStyle w:val="Titre2"/>
        <w:ind w:left="300" w:right="20"/>
        <w:rPr>
          <w:rFonts w:ascii="Trebuchet MS" w:eastAsia="Trebuchet MS" w:hAnsi="Trebuchet MS" w:cs="Trebuchet MS"/>
          <w:i w:val="0"/>
          <w:color w:val="000000"/>
          <w:sz w:val="24"/>
          <w:lang w:val="fr-FR"/>
        </w:rPr>
      </w:pPr>
      <w:bookmarkStart w:id="27" w:name="_Toc53669948"/>
      <w:r>
        <w:rPr>
          <w:rFonts w:ascii="Trebuchet MS" w:eastAsia="Trebuchet MS" w:hAnsi="Trebuchet MS" w:cs="Trebuchet MS"/>
          <w:i w:val="0"/>
          <w:color w:val="000000"/>
          <w:sz w:val="24"/>
          <w:lang w:val="fr-FR"/>
        </w:rPr>
        <w:t>7.2 - Attribution des marchés</w:t>
      </w:r>
      <w:bookmarkEnd w:id="27"/>
    </w:p>
    <w:p w:rsidR="00DD0C22" w:rsidRDefault="00B313CB">
      <w:pPr>
        <w:pStyle w:val="ParagrapheIndent2"/>
        <w:spacing w:line="232" w:lineRule="exact"/>
        <w:ind w:left="20" w:right="20"/>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after="240" w:line="232" w:lineRule="exact"/>
        <w:ind w:left="20" w:right="20"/>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rsidR="00DD0C22" w:rsidRDefault="00B313CB">
      <w:pPr>
        <w:pStyle w:val="ParagrapheIndent2"/>
        <w:spacing w:line="232" w:lineRule="exact"/>
        <w:ind w:left="20" w:right="20"/>
        <w:jc w:val="both"/>
        <w:rPr>
          <w:color w:val="000000"/>
          <w:lang w:val="fr-FR"/>
        </w:rPr>
      </w:pPr>
      <w:r>
        <w:rPr>
          <w:color w:val="000000"/>
          <w:lang w:val="fr-FR"/>
        </w:rPr>
        <w:t>Les critères retenus pour le jugement des offres sont pondérés de la manière suivante :</w:t>
      </w:r>
    </w:p>
    <w:p w:rsidR="00DD0C22" w:rsidRDefault="00DD0C22">
      <w:pPr>
        <w:spacing w:line="20" w:lineRule="exact"/>
        <w:rPr>
          <w:sz w:val="2"/>
        </w:rPr>
      </w:pPr>
    </w:p>
    <w:p w:rsidR="00DD0C22" w:rsidRDefault="00B313CB">
      <w:pPr>
        <w:spacing w:line="232" w:lineRule="exact"/>
        <w:ind w:left="20" w:right="10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r w:rsidR="006418D8">
        <w:rPr>
          <w:rFonts w:ascii="Trebuchet MS" w:eastAsia="Trebuchet MS" w:hAnsi="Trebuchet MS" w:cs="Trebuchet MS"/>
          <w:color w:val="000000"/>
          <w:sz w:val="20"/>
          <w:lang w:val="fr-FR"/>
        </w:rPr>
        <w:t> :</w:t>
      </w:r>
    </w:p>
    <w:p w:rsidR="00DD0C22" w:rsidRDefault="00DD0C22">
      <w:pPr>
        <w:spacing w:line="232" w:lineRule="exact"/>
        <w:ind w:left="20" w:right="1040"/>
        <w:rPr>
          <w:rFonts w:ascii="Trebuchet MS" w:eastAsia="Trebuchet MS" w:hAnsi="Trebuchet MS" w:cs="Trebuchet MS"/>
          <w:color w:val="000000"/>
          <w:sz w:val="20"/>
          <w:lang w:val="fr-FR"/>
        </w:rPr>
      </w:pPr>
    </w:p>
    <w:tbl>
      <w:tblPr>
        <w:tblW w:w="0" w:type="auto"/>
        <w:jc w:val="center"/>
        <w:tblLayout w:type="fixed"/>
        <w:tblLook w:val="04A0" w:firstRow="1" w:lastRow="0" w:firstColumn="1" w:lastColumn="0" w:noHBand="0" w:noVBand="1"/>
      </w:tblPr>
      <w:tblGrid>
        <w:gridCol w:w="3706"/>
        <w:gridCol w:w="1800"/>
      </w:tblGrid>
      <w:tr w:rsidR="00DD0C22" w:rsidTr="006418D8">
        <w:trPr>
          <w:trHeight w:val="306"/>
          <w:jc w:val="center"/>
        </w:trPr>
        <w:tc>
          <w:tcPr>
            <w:tcW w:w="37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0C22" w:rsidRDefault="00B313C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DD0C22" w:rsidTr="006418D8">
        <w:trPr>
          <w:trHeight w:val="360"/>
          <w:jc w:val="center"/>
        </w:trPr>
        <w:tc>
          <w:tcPr>
            <w:tcW w:w="3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60.0 %</w:t>
            </w:r>
          </w:p>
        </w:tc>
      </w:tr>
      <w:tr w:rsidR="00DD0C22" w:rsidTr="006418D8">
        <w:trPr>
          <w:trHeight w:val="360"/>
          <w:jc w:val="center"/>
        </w:trPr>
        <w:tc>
          <w:tcPr>
            <w:tcW w:w="3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0C22" w:rsidRDefault="00B313C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bl>
    <w:p w:rsidR="00DD0C22" w:rsidRDefault="00B313CB">
      <w:pPr>
        <w:spacing w:after="120" w:line="240" w:lineRule="exact"/>
      </w:pPr>
      <w:r>
        <w:t xml:space="preserve"> </w:t>
      </w:r>
    </w:p>
    <w:p w:rsidR="00DD0C22" w:rsidRDefault="00B313CB">
      <w:pPr>
        <w:pStyle w:val="ParagrapheIndent2"/>
        <w:spacing w:after="240" w:line="232" w:lineRule="exact"/>
        <w:ind w:left="20" w:right="20"/>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rsidR="00DD0C22" w:rsidRDefault="00B313CB">
      <w:pPr>
        <w:pStyle w:val="Titre2"/>
        <w:ind w:left="300" w:right="20"/>
        <w:rPr>
          <w:rFonts w:ascii="Trebuchet MS" w:eastAsia="Trebuchet MS" w:hAnsi="Trebuchet MS" w:cs="Trebuchet MS"/>
          <w:i w:val="0"/>
          <w:color w:val="000000"/>
          <w:sz w:val="24"/>
          <w:lang w:val="fr-FR"/>
        </w:rPr>
      </w:pPr>
      <w:bookmarkStart w:id="28" w:name="_Toc53669949"/>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28"/>
    </w:p>
    <w:p w:rsidR="00DD0C22" w:rsidRDefault="00B313CB">
      <w:pPr>
        <w:pStyle w:val="ParagrapheIndent2"/>
        <w:spacing w:after="240" w:line="232" w:lineRule="exact"/>
        <w:ind w:left="20" w:right="20"/>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rsidR="00DD0C22" w:rsidRDefault="00B313CB">
      <w:pPr>
        <w:pStyle w:val="Titre1"/>
        <w:rPr>
          <w:rFonts w:ascii="Trebuchet MS" w:eastAsia="Trebuchet MS" w:hAnsi="Trebuchet MS" w:cs="Trebuchet MS"/>
          <w:color w:val="000000"/>
          <w:sz w:val="28"/>
          <w:lang w:val="fr-FR"/>
        </w:rPr>
      </w:pPr>
      <w:bookmarkStart w:id="29" w:name="_Toc53669950"/>
      <w:r>
        <w:rPr>
          <w:rFonts w:ascii="Trebuchet MS" w:eastAsia="Trebuchet MS" w:hAnsi="Trebuchet MS" w:cs="Trebuchet MS"/>
          <w:color w:val="000000"/>
          <w:sz w:val="28"/>
          <w:lang w:val="fr-FR"/>
        </w:rPr>
        <w:t>8 - Renseignements complémentaires</w:t>
      </w:r>
      <w:bookmarkEnd w:id="29"/>
    </w:p>
    <w:p w:rsidR="00DD0C22" w:rsidRDefault="00B313CB">
      <w:pPr>
        <w:pStyle w:val="Titre2"/>
        <w:ind w:left="300" w:right="20"/>
        <w:rPr>
          <w:rFonts w:ascii="Trebuchet MS" w:eastAsia="Trebuchet MS" w:hAnsi="Trebuchet MS" w:cs="Trebuchet MS"/>
          <w:i w:val="0"/>
          <w:color w:val="000000"/>
          <w:sz w:val="24"/>
          <w:lang w:val="fr-FR"/>
        </w:rPr>
      </w:pPr>
      <w:bookmarkStart w:id="30" w:name="_Toc53669951"/>
      <w:r>
        <w:rPr>
          <w:rFonts w:ascii="Trebuchet MS" w:eastAsia="Trebuchet MS" w:hAnsi="Trebuchet MS" w:cs="Trebuchet MS"/>
          <w:i w:val="0"/>
          <w:color w:val="000000"/>
          <w:sz w:val="24"/>
          <w:lang w:val="fr-FR"/>
        </w:rPr>
        <w:t>8.1 - Adresses supplémentaires et points de contact</w:t>
      </w:r>
      <w:bookmarkEnd w:id="30"/>
    </w:p>
    <w:p w:rsidR="00DD0C22" w:rsidRDefault="00B313CB">
      <w:pPr>
        <w:pStyle w:val="ParagrapheIndent2"/>
        <w:spacing w:line="232" w:lineRule="exact"/>
        <w:ind w:left="20" w:right="20"/>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rsidR="00DD0C22" w:rsidRDefault="00DD0C22">
      <w:pPr>
        <w:pStyle w:val="ParagrapheIndent2"/>
        <w:spacing w:line="232" w:lineRule="exact"/>
        <w:ind w:left="20" w:right="20"/>
        <w:jc w:val="both"/>
        <w:rPr>
          <w:color w:val="000000"/>
          <w:lang w:val="fr-FR"/>
        </w:rPr>
      </w:pPr>
    </w:p>
    <w:p w:rsidR="00DD0C22" w:rsidRDefault="00B313CB">
      <w:pPr>
        <w:pStyle w:val="ParagrapheIndent2"/>
        <w:spacing w:after="240" w:line="232" w:lineRule="exact"/>
        <w:ind w:left="20" w:right="20"/>
        <w:jc w:val="both"/>
        <w:rPr>
          <w:color w:val="000000"/>
          <w:lang w:val="fr-FR"/>
        </w:rPr>
      </w:pPr>
      <w:r>
        <w:rPr>
          <w:color w:val="000000"/>
          <w:lang w:val="fr-FR"/>
        </w:rPr>
        <w:t>Cette demande doit intervenir au plus tard 10 jours avant la date limite de réception des offres.</w:t>
      </w:r>
    </w:p>
    <w:p w:rsidR="00DD0C22" w:rsidRDefault="00B313CB">
      <w:pPr>
        <w:pStyle w:val="ParagrapheIndent2"/>
        <w:spacing w:after="240" w:line="232" w:lineRule="exact"/>
        <w:ind w:left="20" w:right="20"/>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réception des offres.</w:t>
      </w:r>
    </w:p>
    <w:p w:rsidR="00DD0C22" w:rsidRDefault="00B313CB">
      <w:pPr>
        <w:pStyle w:val="ParagrapheIndent2"/>
        <w:spacing w:after="240" w:line="232" w:lineRule="exact"/>
        <w:ind w:left="20" w:right="20"/>
        <w:jc w:val="both"/>
        <w:rPr>
          <w:color w:val="000000"/>
          <w:lang w:val="fr-FR"/>
        </w:rPr>
      </w:pPr>
      <w:r>
        <w:rPr>
          <w:color w:val="000000"/>
          <w:lang w:val="fr-FR"/>
        </w:rPr>
        <w:t>Les documents de la consultation sont communiqués aux candidats dans les 6 jours qui suivent la réception de leur demande.</w:t>
      </w:r>
    </w:p>
    <w:p w:rsidR="00DD0C22" w:rsidRDefault="00B313CB">
      <w:pPr>
        <w:pStyle w:val="Titre2"/>
        <w:ind w:left="300" w:right="20"/>
        <w:rPr>
          <w:rFonts w:ascii="Trebuchet MS" w:eastAsia="Trebuchet MS" w:hAnsi="Trebuchet MS" w:cs="Trebuchet MS"/>
          <w:i w:val="0"/>
          <w:color w:val="000000"/>
          <w:sz w:val="24"/>
          <w:lang w:val="fr-FR"/>
        </w:rPr>
      </w:pPr>
      <w:bookmarkStart w:id="31" w:name="_Toc53669952"/>
      <w:r>
        <w:rPr>
          <w:rFonts w:ascii="Trebuchet MS" w:eastAsia="Trebuchet MS" w:hAnsi="Trebuchet MS" w:cs="Trebuchet MS"/>
          <w:i w:val="0"/>
          <w:color w:val="000000"/>
          <w:sz w:val="24"/>
          <w:lang w:val="fr-FR"/>
        </w:rPr>
        <w:t>8.2 - Procédures de recours</w:t>
      </w:r>
      <w:bookmarkEnd w:id="31"/>
    </w:p>
    <w:p w:rsidR="00DD0C22" w:rsidRDefault="00B313CB">
      <w:pPr>
        <w:pStyle w:val="ParagrapheIndent2"/>
        <w:spacing w:line="232" w:lineRule="exact"/>
        <w:ind w:left="20" w:right="20"/>
        <w:jc w:val="both"/>
        <w:rPr>
          <w:color w:val="000000"/>
          <w:lang w:val="fr-FR"/>
        </w:rPr>
      </w:pPr>
      <w:r>
        <w:rPr>
          <w:color w:val="000000"/>
          <w:lang w:val="fr-FR"/>
        </w:rPr>
        <w:t>Le tribunal territorialement compétent est :</w:t>
      </w:r>
    </w:p>
    <w:p w:rsidR="00DD0C22" w:rsidRDefault="00B313CB">
      <w:pPr>
        <w:pStyle w:val="ParagrapheIndent2"/>
        <w:spacing w:line="232" w:lineRule="exact"/>
        <w:ind w:left="20" w:right="20"/>
        <w:jc w:val="both"/>
        <w:rPr>
          <w:color w:val="000000"/>
          <w:lang w:val="fr-FR"/>
        </w:rPr>
      </w:pPr>
      <w:r>
        <w:rPr>
          <w:color w:val="000000"/>
          <w:lang w:val="fr-FR"/>
        </w:rPr>
        <w:t>Tribunal Administratif de Bordeaux</w:t>
      </w:r>
    </w:p>
    <w:p w:rsidR="00DD0C22" w:rsidRDefault="00B313CB">
      <w:pPr>
        <w:pStyle w:val="ParagrapheIndent2"/>
        <w:spacing w:line="232" w:lineRule="exact"/>
        <w:ind w:left="20" w:right="20"/>
        <w:jc w:val="both"/>
        <w:rPr>
          <w:color w:val="000000"/>
          <w:lang w:val="fr-FR"/>
        </w:rPr>
      </w:pPr>
      <w:r>
        <w:rPr>
          <w:color w:val="000000"/>
          <w:lang w:val="fr-FR"/>
        </w:rPr>
        <w:t xml:space="preserve">9 rue </w:t>
      </w:r>
      <w:proofErr w:type="spellStart"/>
      <w:r>
        <w:rPr>
          <w:color w:val="000000"/>
          <w:lang w:val="fr-FR"/>
        </w:rPr>
        <w:t>Tastet</w:t>
      </w:r>
      <w:proofErr w:type="spellEnd"/>
    </w:p>
    <w:p w:rsidR="00DD0C22" w:rsidRDefault="00B313CB">
      <w:pPr>
        <w:pStyle w:val="ParagrapheIndent2"/>
        <w:spacing w:after="240" w:line="232" w:lineRule="exact"/>
        <w:ind w:left="20" w:right="20"/>
        <w:jc w:val="both"/>
        <w:rPr>
          <w:color w:val="000000"/>
          <w:lang w:val="fr-FR"/>
        </w:rPr>
      </w:pPr>
      <w:r>
        <w:rPr>
          <w:color w:val="000000"/>
          <w:lang w:val="fr-FR"/>
        </w:rPr>
        <w:lastRenderedPageBreak/>
        <w:t>33063 BORDEAUX CEDEX</w:t>
      </w:r>
    </w:p>
    <w:p w:rsidR="00DD0C22" w:rsidRDefault="00B313CB">
      <w:pPr>
        <w:pStyle w:val="ParagrapheIndent2"/>
        <w:spacing w:after="240" w:line="232" w:lineRule="exact"/>
        <w:ind w:left="20" w:right="20"/>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rsidR="00DD0C22" w:rsidRDefault="00B313CB">
      <w:pPr>
        <w:pStyle w:val="ParagrapheIndent2"/>
        <w:spacing w:line="232" w:lineRule="exact"/>
        <w:ind w:left="20" w:right="20"/>
        <w:jc w:val="both"/>
        <w:rPr>
          <w:color w:val="000000"/>
          <w:lang w:val="fr-FR"/>
        </w:rPr>
      </w:pPr>
      <w:r>
        <w:rPr>
          <w:color w:val="000000"/>
          <w:lang w:val="fr-FR"/>
        </w:rPr>
        <w:t>Pour obtenir des renseignements relatifs à l'introduction des recours, les candidats devront s'adresser à :</w:t>
      </w:r>
    </w:p>
    <w:p w:rsidR="00DD0C22" w:rsidRDefault="00B313CB">
      <w:pPr>
        <w:pStyle w:val="ParagrapheIndent2"/>
        <w:spacing w:line="232" w:lineRule="exact"/>
        <w:ind w:left="20" w:right="20"/>
        <w:jc w:val="both"/>
        <w:rPr>
          <w:color w:val="000000"/>
          <w:lang w:val="fr-FR"/>
        </w:rPr>
      </w:pPr>
      <w:r>
        <w:rPr>
          <w:color w:val="000000"/>
          <w:lang w:val="fr-FR"/>
        </w:rPr>
        <w:t>Greffe du Tribunal Administratif de Bordeaux</w:t>
      </w:r>
    </w:p>
    <w:p w:rsidR="00DD0C22" w:rsidRDefault="00B313CB">
      <w:pPr>
        <w:pStyle w:val="ParagrapheIndent2"/>
        <w:spacing w:line="232" w:lineRule="exact"/>
        <w:ind w:left="20" w:right="20"/>
        <w:jc w:val="both"/>
        <w:rPr>
          <w:color w:val="000000"/>
          <w:lang w:val="fr-FR"/>
        </w:rPr>
      </w:pPr>
      <w:r>
        <w:rPr>
          <w:color w:val="000000"/>
          <w:lang w:val="fr-FR"/>
        </w:rPr>
        <w:t xml:space="preserve">9 rue </w:t>
      </w:r>
      <w:proofErr w:type="spellStart"/>
      <w:r>
        <w:rPr>
          <w:color w:val="000000"/>
          <w:lang w:val="fr-FR"/>
        </w:rPr>
        <w:t>Tastet</w:t>
      </w:r>
      <w:proofErr w:type="spellEnd"/>
    </w:p>
    <w:p w:rsidR="00DD0C22" w:rsidRDefault="00B313CB">
      <w:pPr>
        <w:pStyle w:val="ParagrapheIndent2"/>
        <w:spacing w:line="232" w:lineRule="exact"/>
        <w:ind w:left="20" w:right="20"/>
        <w:jc w:val="both"/>
        <w:rPr>
          <w:color w:val="000000"/>
          <w:lang w:val="fr-FR"/>
        </w:rPr>
      </w:pPr>
      <w:r>
        <w:rPr>
          <w:color w:val="000000"/>
          <w:lang w:val="fr-FR"/>
        </w:rPr>
        <w:t>33063 BORDEAUX CEDEX</w:t>
      </w:r>
    </w:p>
    <w:sectPr w:rsidR="00DD0C22">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622" w:rsidRDefault="00960622">
      <w:r>
        <w:separator/>
      </w:r>
    </w:p>
  </w:endnote>
  <w:endnote w:type="continuationSeparator" w:id="0">
    <w:p w:rsidR="00960622" w:rsidRDefault="0096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C22" w:rsidRDefault="00DD0C22">
    <w:pPr>
      <w:spacing w:line="240" w:lineRule="exact"/>
    </w:pPr>
  </w:p>
  <w:tbl>
    <w:tblPr>
      <w:tblW w:w="0" w:type="auto"/>
      <w:tblInd w:w="20" w:type="dxa"/>
      <w:tblLayout w:type="fixed"/>
      <w:tblLook w:val="04A0" w:firstRow="1" w:lastRow="0" w:firstColumn="1" w:lastColumn="0" w:noHBand="0" w:noVBand="1"/>
    </w:tblPr>
    <w:tblGrid>
      <w:gridCol w:w="5220"/>
      <w:gridCol w:w="4400"/>
    </w:tblGrid>
    <w:tr w:rsidR="00DD0C22">
      <w:trPr>
        <w:trHeight w:val="260"/>
      </w:trPr>
      <w:tc>
        <w:tcPr>
          <w:tcW w:w="5220" w:type="dxa"/>
          <w:tcMar>
            <w:top w:w="0" w:type="dxa"/>
            <w:left w:w="0" w:type="dxa"/>
            <w:bottom w:w="0" w:type="dxa"/>
            <w:right w:w="0" w:type="dxa"/>
          </w:tcMar>
          <w:vAlign w:val="center"/>
        </w:tcPr>
        <w:p w:rsidR="00DD0C22" w:rsidRDefault="00B313C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AO-2004</w:t>
          </w:r>
        </w:p>
      </w:tc>
      <w:tc>
        <w:tcPr>
          <w:tcW w:w="4400" w:type="dxa"/>
          <w:tcMar>
            <w:top w:w="0" w:type="dxa"/>
            <w:left w:w="0" w:type="dxa"/>
            <w:bottom w:w="0" w:type="dxa"/>
            <w:right w:w="0" w:type="dxa"/>
          </w:tcMar>
          <w:vAlign w:val="center"/>
        </w:tcPr>
        <w:p w:rsidR="00DD0C22" w:rsidRDefault="00B313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622" w:rsidRDefault="00960622">
      <w:r>
        <w:separator/>
      </w:r>
    </w:p>
  </w:footnote>
  <w:footnote w:type="continuationSeparator" w:id="0">
    <w:p w:rsidR="00960622" w:rsidRDefault="00960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E303D"/>
    <w:multiLevelType w:val="hybridMultilevel"/>
    <w:tmpl w:val="FCDC0948"/>
    <w:lvl w:ilvl="0" w:tplc="823C9AE6">
      <w:start w:val="16"/>
      <w:numFmt w:val="bullet"/>
      <w:lvlText w:val="-"/>
      <w:lvlJc w:val="left"/>
      <w:pPr>
        <w:ind w:left="380" w:hanging="360"/>
      </w:pPr>
      <w:rPr>
        <w:rFonts w:ascii="Trebuchet MS" w:eastAsia="Trebuchet MS" w:hAnsi="Trebuchet MS" w:cs="Trebuchet MS" w:hint="default"/>
        <w:b/>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D0C22"/>
    <w:rsid w:val="001E5F2F"/>
    <w:rsid w:val="00326481"/>
    <w:rsid w:val="006418D8"/>
    <w:rsid w:val="00960622"/>
    <w:rsid w:val="009B27DE"/>
    <w:rsid w:val="00A63909"/>
    <w:rsid w:val="00B313CB"/>
    <w:rsid w:val="00D94B94"/>
    <w:rsid w:val="00DD0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2687682"/>
  <w15:docId w15:val="{0A649650-0FD9-4160-B149-CC84A9C1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2591</Words>
  <Characters>14255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PELLETIER</dc:creator>
  <cp:lastModifiedBy>Nicolas PELLETIER</cp:lastModifiedBy>
  <cp:revision>7</cp:revision>
  <dcterms:created xsi:type="dcterms:W3CDTF">2020-10-15T13:47:00Z</dcterms:created>
  <dcterms:modified xsi:type="dcterms:W3CDTF">2020-12-22T13:53:00Z</dcterms:modified>
</cp:coreProperties>
</file>