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770A85" w14:textId="77777777" w:rsidR="00AF69F7" w:rsidRDefault="006F33E5">
      <w:pPr>
        <w:pStyle w:val="En-tte"/>
        <w:tabs>
          <w:tab w:val="clear" w:pos="4536"/>
          <w:tab w:val="clear" w:pos="9072"/>
          <w:tab w:val="left" w:pos="6946"/>
        </w:tabs>
        <w:spacing w:before="100" w:beforeAutospacing="1" w:after="100" w:afterAutospacing="1"/>
        <w:rPr>
          <w:rFonts w:cs="Arial"/>
        </w:rPr>
      </w:pPr>
      <w:r>
        <w:rPr>
          <w:rFonts w:cs="Arial"/>
          <w:noProof/>
        </w:rPr>
        <mc:AlternateContent>
          <mc:Choice Requires="wps">
            <w:drawing>
              <wp:anchor distT="0" distB="0" distL="114300" distR="114300" simplePos="0" relativeHeight="251657216" behindDoc="0" locked="0" layoutInCell="1" allowOverlap="1" wp14:anchorId="737BB67E" wp14:editId="1C41A3C0">
                <wp:simplePos x="0" y="0"/>
                <wp:positionH relativeFrom="column">
                  <wp:posOffset>300355</wp:posOffset>
                </wp:positionH>
                <wp:positionV relativeFrom="paragraph">
                  <wp:posOffset>3443605</wp:posOffset>
                </wp:positionV>
                <wp:extent cx="6011545" cy="4667250"/>
                <wp:effectExtent l="0" t="0" r="8255" b="0"/>
                <wp:wrapNone/>
                <wp:docPr id="8" name="Text Box 6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1545" cy="466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6A5B52" w14:textId="77777777" w:rsidR="004B5965" w:rsidRDefault="004B5965"/>
                          <w:p w14:paraId="2B3E2EA9" w14:textId="241ED1AB" w:rsidR="004B5965" w:rsidRDefault="00396956">
                            <w:pPr>
                              <w:rPr>
                                <w:b/>
                                <w:color w:val="004494"/>
                                <w:sz w:val="56"/>
                              </w:rPr>
                            </w:pPr>
                            <w:r>
                              <w:rPr>
                                <w:b/>
                                <w:color w:val="004494"/>
                                <w:sz w:val="56"/>
                              </w:rPr>
                              <w:t>Règlement de</w:t>
                            </w:r>
                            <w:r w:rsidR="004B5965">
                              <w:rPr>
                                <w:b/>
                                <w:color w:val="004494"/>
                                <w:sz w:val="56"/>
                              </w:rPr>
                              <w:t xml:space="preserve"> consultation</w:t>
                            </w:r>
                          </w:p>
                          <w:p w14:paraId="4D5E4E15" w14:textId="77777777" w:rsidR="002046A0" w:rsidRDefault="002046A0">
                            <w:pPr>
                              <w:rPr>
                                <w:b/>
                                <w:color w:val="004494"/>
                                <w:sz w:val="56"/>
                              </w:rPr>
                            </w:pPr>
                          </w:p>
                          <w:p w14:paraId="0A074A26" w14:textId="56164B67" w:rsidR="004412E1" w:rsidRDefault="00845E83" w:rsidP="004A43B3">
                            <w:pPr>
                              <w:jc w:val="left"/>
                              <w:rPr>
                                <w:rFonts w:eastAsia="Times"/>
                                <w:b/>
                                <w:color w:val="E36C0A"/>
                                <w:sz w:val="32"/>
                                <w:szCs w:val="28"/>
                              </w:rPr>
                            </w:pPr>
                            <w:r>
                              <w:rPr>
                                <w:rFonts w:eastAsia="Times"/>
                                <w:b/>
                                <w:color w:val="E36C0A"/>
                                <w:sz w:val="32"/>
                                <w:szCs w:val="28"/>
                              </w:rPr>
                              <w:t xml:space="preserve">2020 </w:t>
                            </w:r>
                            <w:r w:rsidR="00723C6B">
                              <w:rPr>
                                <w:rFonts w:eastAsia="Times"/>
                                <w:b/>
                                <w:color w:val="E36C0A"/>
                                <w:sz w:val="32"/>
                                <w:szCs w:val="28"/>
                              </w:rPr>
                              <w:t>03 - Appui à la passation des marchés d’assurances</w:t>
                            </w:r>
                          </w:p>
                          <w:p w14:paraId="26EB36B1" w14:textId="77777777" w:rsidR="004B5965" w:rsidRPr="00BC55B6" w:rsidRDefault="006F33E5" w:rsidP="005A0F29">
                            <w:pPr>
                              <w:pStyle w:val="En-tte"/>
                              <w:tabs>
                                <w:tab w:val="clear" w:pos="4536"/>
                                <w:tab w:val="clear" w:pos="9072"/>
                              </w:tabs>
                            </w:pPr>
                            <w:r w:rsidRPr="00BC55B6">
                              <w:rPr>
                                <w:noProof/>
                              </w:rPr>
                              <w:drawing>
                                <wp:inline distT="0" distB="0" distL="0" distR="0" wp14:anchorId="40D8B384" wp14:editId="546BAC2A">
                                  <wp:extent cx="914400" cy="542925"/>
                                  <wp:effectExtent l="0" t="0" r="0" b="0"/>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542925"/>
                                          </a:xfrm>
                                          <a:prstGeom prst="rect">
                                            <a:avLst/>
                                          </a:prstGeom>
                                          <a:noFill/>
                                          <a:ln>
                                            <a:noFill/>
                                          </a:ln>
                                        </pic:spPr>
                                      </pic:pic>
                                    </a:graphicData>
                                  </a:graphic>
                                </wp:inline>
                              </w:drawing>
                            </w:r>
                          </w:p>
                          <w:p w14:paraId="289DE065" w14:textId="4E110753" w:rsidR="004B5965" w:rsidRPr="00A8592F" w:rsidRDefault="004B5965" w:rsidP="0034726C">
                            <w:pPr>
                              <w:rPr>
                                <w:strike/>
                              </w:rPr>
                            </w:pPr>
                            <w:r w:rsidRPr="00BC55B6">
                              <w:t xml:space="preserve">Date et heure limites de réception des </w:t>
                            </w:r>
                            <w:r w:rsidRPr="00E30320">
                              <w:t>offres :</w:t>
                            </w:r>
                            <w:r w:rsidR="00B3338F" w:rsidRPr="00E30320">
                              <w:rPr>
                                <w:b/>
                                <w:bCs/>
                              </w:rPr>
                              <w:t xml:space="preserve"> </w:t>
                            </w:r>
                            <w:r w:rsidR="002046A0">
                              <w:rPr>
                                <w:b/>
                                <w:bCs/>
                              </w:rPr>
                              <w:t xml:space="preserve"> </w:t>
                            </w:r>
                            <w:r w:rsidR="00723C6B">
                              <w:rPr>
                                <w:b/>
                                <w:bCs/>
                              </w:rPr>
                              <w:t>2</w:t>
                            </w:r>
                            <w:r w:rsidR="005A4FC0">
                              <w:rPr>
                                <w:b/>
                                <w:bCs/>
                              </w:rPr>
                              <w:t>6</w:t>
                            </w:r>
                            <w:r w:rsidR="00723C6B">
                              <w:rPr>
                                <w:b/>
                                <w:bCs/>
                              </w:rPr>
                              <w:t xml:space="preserve"> janvier 2021</w:t>
                            </w:r>
                            <w:r w:rsidR="00675AD7" w:rsidRPr="00CE7145">
                              <w:rPr>
                                <w:b/>
                                <w:bCs/>
                              </w:rPr>
                              <w:t xml:space="preserve"> à </w:t>
                            </w:r>
                            <w:r w:rsidR="00723C6B">
                              <w:rPr>
                                <w:b/>
                                <w:bCs/>
                              </w:rPr>
                              <w:t>12</w:t>
                            </w:r>
                            <w:r w:rsidR="00675AD7" w:rsidRPr="00CE7145">
                              <w:rPr>
                                <w:b/>
                                <w:bCs/>
                              </w:rPr>
                              <w:t>h00</w:t>
                            </w:r>
                          </w:p>
                          <w:p w14:paraId="2C2B748C" w14:textId="77777777" w:rsidR="004B5965" w:rsidRDefault="004B5965">
                            <w:pPr>
                              <w:widowControl w:val="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7BB67E" id="_x0000_t202" coordsize="21600,21600" o:spt="202" path="m,l,21600r21600,l21600,xe">
                <v:stroke joinstyle="miter"/>
                <v:path gradientshapeok="t" o:connecttype="rect"/>
              </v:shapetype>
              <v:shape id="Text Box 675" o:spid="_x0000_s1026" type="#_x0000_t202" style="position:absolute;left:0;text-align:left;margin-left:23.65pt;margin-top:271.15pt;width:473.35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" stroked="f">
                <v:textbox>
                  <w:txbxContent>
                    <w:p w14:paraId="206A5B52" w14:textId="77777777" w:rsidR="004B5965" w:rsidRDefault="004B5965"/>
                    <w:p w14:paraId="2B3E2EA9" w14:textId="241ED1AB" w:rsidR="004B5965" w:rsidRDefault="00396956">
                      <w:pPr>
                        <w:rPr>
                          <w:b/>
                          <w:color w:val="004494"/>
                          <w:sz w:val="56"/>
                        </w:rPr>
                      </w:pPr>
                      <w:r>
                        <w:rPr>
                          <w:b/>
                          <w:color w:val="004494"/>
                          <w:sz w:val="56"/>
                        </w:rPr>
                        <w:t>Règlement de</w:t>
                      </w:r>
                      <w:r w:rsidR="004B5965">
                        <w:rPr>
                          <w:b/>
                          <w:color w:val="004494"/>
                          <w:sz w:val="56"/>
                        </w:rPr>
                        <w:t xml:space="preserve"> consultation</w:t>
                      </w:r>
                    </w:p>
                    <w:p w14:paraId="4D5E4E15" w14:textId="77777777" w:rsidR="002046A0" w:rsidRDefault="002046A0">
                      <w:pPr>
                        <w:rPr>
                          <w:b/>
                          <w:color w:val="004494"/>
                          <w:sz w:val="56"/>
                        </w:rPr>
                      </w:pPr>
                    </w:p>
                    <w:p w14:paraId="0A074A26" w14:textId="56164B67" w:rsidR="004412E1" w:rsidRDefault="00845E83" w:rsidP="004A43B3">
                      <w:pPr>
                        <w:jc w:val="left"/>
                        <w:rPr>
                          <w:rFonts w:eastAsia="Times"/>
                          <w:b/>
                          <w:color w:val="E36C0A"/>
                          <w:sz w:val="32"/>
                          <w:szCs w:val="28"/>
                        </w:rPr>
                      </w:pPr>
                      <w:r>
                        <w:rPr>
                          <w:rFonts w:eastAsia="Times"/>
                          <w:b/>
                          <w:color w:val="E36C0A"/>
                          <w:sz w:val="32"/>
                          <w:szCs w:val="28"/>
                        </w:rPr>
                        <w:t xml:space="preserve">2020 </w:t>
                      </w:r>
                      <w:r w:rsidR="00723C6B">
                        <w:rPr>
                          <w:rFonts w:eastAsia="Times"/>
                          <w:b/>
                          <w:color w:val="E36C0A"/>
                          <w:sz w:val="32"/>
                          <w:szCs w:val="28"/>
                        </w:rPr>
                        <w:t>03 - Appui à la passation des marchés d’assurances</w:t>
                      </w:r>
                    </w:p>
                    <w:p w14:paraId="26EB36B1" w14:textId="77777777" w:rsidR="004B5965" w:rsidRPr="00BC55B6" w:rsidRDefault="006F33E5" w:rsidP="005A0F29">
                      <w:pPr>
                        <w:pStyle w:val="En-tte"/>
                        <w:tabs>
                          <w:tab w:val="clear" w:pos="4536"/>
                          <w:tab w:val="clear" w:pos="9072"/>
                        </w:tabs>
                      </w:pPr>
                      <w:r w:rsidRPr="00BC55B6">
                        <w:rPr>
                          <w:noProof/>
                        </w:rPr>
                        <w:drawing>
                          <wp:inline distT="0" distB="0" distL="0" distR="0" wp14:anchorId="40D8B384" wp14:editId="546BAC2A">
                            <wp:extent cx="914400" cy="542925"/>
                            <wp:effectExtent l="0" t="0" r="0" b="0"/>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542925"/>
                                    </a:xfrm>
                                    <a:prstGeom prst="rect">
                                      <a:avLst/>
                                    </a:prstGeom>
                                    <a:noFill/>
                                    <a:ln>
                                      <a:noFill/>
                                    </a:ln>
                                  </pic:spPr>
                                </pic:pic>
                              </a:graphicData>
                            </a:graphic>
                          </wp:inline>
                        </w:drawing>
                      </w:r>
                    </w:p>
                    <w:p w14:paraId="289DE065" w14:textId="4E110753" w:rsidR="004B5965" w:rsidRPr="00A8592F" w:rsidRDefault="004B5965" w:rsidP="0034726C">
                      <w:pPr>
                        <w:rPr>
                          <w:strike/>
                        </w:rPr>
                      </w:pPr>
                      <w:r w:rsidRPr="00BC55B6">
                        <w:t xml:space="preserve">Date et heure limites de réception des </w:t>
                      </w:r>
                      <w:r w:rsidRPr="00E30320">
                        <w:t>offres :</w:t>
                      </w:r>
                      <w:r w:rsidR="00B3338F" w:rsidRPr="00E30320">
                        <w:rPr>
                          <w:b/>
                          <w:bCs/>
                        </w:rPr>
                        <w:t xml:space="preserve"> </w:t>
                      </w:r>
                      <w:r w:rsidR="002046A0">
                        <w:rPr>
                          <w:b/>
                          <w:bCs/>
                        </w:rPr>
                        <w:t xml:space="preserve"> </w:t>
                      </w:r>
                      <w:r w:rsidR="00723C6B">
                        <w:rPr>
                          <w:b/>
                          <w:bCs/>
                        </w:rPr>
                        <w:t>2</w:t>
                      </w:r>
                      <w:r w:rsidR="005A4FC0">
                        <w:rPr>
                          <w:b/>
                          <w:bCs/>
                        </w:rPr>
                        <w:t>6</w:t>
                      </w:r>
                      <w:r w:rsidR="00723C6B">
                        <w:rPr>
                          <w:b/>
                          <w:bCs/>
                        </w:rPr>
                        <w:t xml:space="preserve"> janvier 2021</w:t>
                      </w:r>
                      <w:r w:rsidR="00675AD7" w:rsidRPr="00CE7145">
                        <w:rPr>
                          <w:b/>
                          <w:bCs/>
                        </w:rPr>
                        <w:t xml:space="preserve"> à </w:t>
                      </w:r>
                      <w:r w:rsidR="00723C6B">
                        <w:rPr>
                          <w:b/>
                          <w:bCs/>
                        </w:rPr>
                        <w:t>12</w:t>
                      </w:r>
                      <w:r w:rsidR="00675AD7" w:rsidRPr="00CE7145">
                        <w:rPr>
                          <w:b/>
                          <w:bCs/>
                        </w:rPr>
                        <w:t>h00</w:t>
                      </w:r>
                    </w:p>
                    <w:p w14:paraId="2C2B748C" w14:textId="77777777" w:rsidR="004B5965" w:rsidRDefault="004B5965">
                      <w:pPr>
                        <w:widowControl w:val="0"/>
                      </w:pPr>
                    </w:p>
                  </w:txbxContent>
                </v:textbox>
              </v:shape>
            </w:pict>
          </mc:Fallback>
        </mc:AlternateContent>
      </w:r>
      <w:r>
        <w:rPr>
          <w:rFonts w:cs="Arial"/>
          <w:noProof/>
        </w:rPr>
        <mc:AlternateContent>
          <mc:Choice Requires="wps">
            <w:drawing>
              <wp:anchor distT="0" distB="0" distL="114300" distR="114300" simplePos="0" relativeHeight="251659264" behindDoc="0" locked="0" layoutInCell="1" allowOverlap="1" wp14:anchorId="7C84AD60" wp14:editId="08FC2FA5">
                <wp:simplePos x="0" y="0"/>
                <wp:positionH relativeFrom="column">
                  <wp:posOffset>2095500</wp:posOffset>
                </wp:positionH>
                <wp:positionV relativeFrom="paragraph">
                  <wp:posOffset>9144000</wp:posOffset>
                </wp:positionV>
                <wp:extent cx="2984500" cy="457200"/>
                <wp:effectExtent l="0" t="0" r="0" b="1905"/>
                <wp:wrapNone/>
                <wp:docPr id="7" name="Rectangle 6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A34899" w14:textId="77777777" w:rsidR="004B5965" w:rsidRDefault="004B5965">
                            <w:pPr>
                              <w:jc w:val="center"/>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84AD60" id="Rectangle 678" o:spid="_x0000_s1027" style="position:absolute;left:0;text-align:left;margin-left:165pt;margin-top:10in;width:23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" filled="f" stroked="f">
                <v:textbox>
                  <w:txbxContent>
                    <w:p w14:paraId="49A34899" w14:textId="77777777" w:rsidR="004B5965" w:rsidRDefault="004B5965">
                      <w:pPr>
                        <w:jc w:val="center"/>
                        <w:rPr>
                          <w:sz w:val="24"/>
                        </w:rPr>
                      </w:pPr>
                    </w:p>
                  </w:txbxContent>
                </v:textbox>
              </v:rect>
            </w:pict>
          </mc:Fallback>
        </mc:AlternateContent>
      </w:r>
      <w:r>
        <w:rPr>
          <w:rFonts w:cs="Arial"/>
          <w:noProof/>
        </w:rPr>
        <w:drawing>
          <wp:inline distT="0" distB="0" distL="0" distR="0" wp14:anchorId="4DBC727B" wp14:editId="5180B299">
            <wp:extent cx="6315075" cy="9001125"/>
            <wp:effectExtent l="0" t="0" r="0" b="0"/>
            <wp:docPr id="5" name="Image 1" descr="Fond AN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nd ANRU"/>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15075" cy="9001125"/>
                    </a:xfrm>
                    <a:prstGeom prst="rect">
                      <a:avLst/>
                    </a:prstGeom>
                    <a:noFill/>
                    <a:ln>
                      <a:noFill/>
                    </a:ln>
                  </pic:spPr>
                </pic:pic>
              </a:graphicData>
            </a:graphic>
          </wp:inline>
        </w:drawing>
      </w:r>
    </w:p>
    <w:p w14:paraId="78DB57F2" w14:textId="11AE3A80" w:rsidR="00AF69F7" w:rsidRDefault="00AF69F7">
      <w:pPr>
        <w:pStyle w:val="En-tte"/>
        <w:tabs>
          <w:tab w:val="clear" w:pos="4536"/>
          <w:tab w:val="clear" w:pos="9072"/>
          <w:tab w:val="left" w:pos="6946"/>
        </w:tabs>
        <w:spacing w:before="100" w:beforeAutospacing="1" w:after="100" w:afterAutospacing="1"/>
        <w:rPr>
          <w:rFonts w:cs="Arial"/>
        </w:rPr>
      </w:pPr>
    </w:p>
    <w:p w14:paraId="3B8D31A5" w14:textId="7091D053" w:rsidR="00C27563" w:rsidRDefault="00872085" w:rsidP="0014720C">
      <w:pPr>
        <w:pStyle w:val="Titre1"/>
        <w:numPr>
          <w:ilvl w:val="0"/>
          <w:numId w:val="10"/>
        </w:numPr>
        <w:rPr>
          <w:color w:val="004494"/>
          <w:sz w:val="24"/>
          <w:szCs w:val="24"/>
        </w:rPr>
      </w:pPr>
      <w:bookmarkStart w:id="0" w:name="_Toc524525612"/>
      <w:r>
        <w:rPr>
          <w:color w:val="004494"/>
          <w:sz w:val="24"/>
          <w:szCs w:val="24"/>
        </w:rPr>
        <w:t>Présentation de la consultation</w:t>
      </w:r>
      <w:bookmarkEnd w:id="0"/>
    </w:p>
    <w:p w14:paraId="24F20680" w14:textId="73F02A33" w:rsidR="00872085" w:rsidRDefault="00872085" w:rsidP="00872085"/>
    <w:p w14:paraId="66CFF10F" w14:textId="1A6688E0" w:rsidR="008A4083" w:rsidRDefault="00872085" w:rsidP="008A4083">
      <w:r>
        <w:t xml:space="preserve">La présente consultation a pour objet la passation d’un </w:t>
      </w:r>
      <w:r w:rsidR="004A43B3">
        <w:t>marché d’appui à la passation de marchés d’assurance.</w:t>
      </w:r>
    </w:p>
    <w:p w14:paraId="573D6A80" w14:textId="0FB06BFC" w:rsidR="00837F66" w:rsidRDefault="00837F66" w:rsidP="00872085"/>
    <w:p w14:paraId="0A66D199" w14:textId="57E22FF9" w:rsidR="00CF6579" w:rsidRDefault="00837F66" w:rsidP="00872085">
      <w:r>
        <w:t xml:space="preserve">La consultation est lancée sous la forme d’un marché à procédure adaptée en application de l’article </w:t>
      </w:r>
      <w:r w:rsidR="00675AD7">
        <w:t>R2123-1 du Code de la commande publiqu</w:t>
      </w:r>
      <w:r w:rsidR="00675AD7" w:rsidRPr="004A43B3">
        <w:t>e</w:t>
      </w:r>
      <w:r w:rsidR="00661FBF" w:rsidRPr="004A43B3">
        <w:t xml:space="preserve"> (achat inférieur à 22</w:t>
      </w:r>
      <w:r w:rsidR="003B6C5C" w:rsidRPr="004A43B3">
        <w:t>1</w:t>
      </w:r>
      <w:r w:rsidR="00661FBF" w:rsidRPr="004A43B3">
        <w:t> 000 € HT</w:t>
      </w:r>
      <w:r w:rsidR="003B6C5C" w:rsidRPr="004A43B3">
        <w:t xml:space="preserve"> sur la durée totale d</w:t>
      </w:r>
      <w:r w:rsidR="004A43B3" w:rsidRPr="004A43B3">
        <w:t>u marché</w:t>
      </w:r>
      <w:r w:rsidR="00661FBF" w:rsidRPr="004A43B3">
        <w:t>)</w:t>
      </w:r>
      <w:r w:rsidR="00675AD7" w:rsidRPr="004A43B3">
        <w:t>.</w:t>
      </w:r>
    </w:p>
    <w:p w14:paraId="1B575666" w14:textId="009A52F6" w:rsidR="004A43B3" w:rsidRDefault="004A43B3" w:rsidP="00872085"/>
    <w:p w14:paraId="6D45C203" w14:textId="77777777" w:rsidR="004A43B3" w:rsidRDefault="004A43B3" w:rsidP="004A43B3">
      <w:r>
        <w:t>L’ANRU pourra conclure avec le titulaire des marchés sans publicité ni mise en concurrence sur le fondement de l’article R2122-7 du code de la commande publique.</w:t>
      </w:r>
    </w:p>
    <w:p w14:paraId="0743AD6C" w14:textId="4A60B5B7" w:rsidR="00794FCE" w:rsidRDefault="00794FCE" w:rsidP="00872085"/>
    <w:p w14:paraId="5A97FB65" w14:textId="4A91306B" w:rsidR="00837F66" w:rsidRDefault="00837F66" w:rsidP="00872085">
      <w:r>
        <w:t>Aucun allotissement n’est prévu</w:t>
      </w:r>
      <w:r w:rsidR="00675AD7">
        <w:t xml:space="preserve"> dans le cadre de cette consultation. </w:t>
      </w:r>
      <w:r>
        <w:t>Les variantes</w:t>
      </w:r>
      <w:r w:rsidR="00CF6579">
        <w:t xml:space="preserve"> ne</w:t>
      </w:r>
      <w:r>
        <w:t xml:space="preserve"> sont </w:t>
      </w:r>
      <w:r w:rsidR="00CF6579">
        <w:t xml:space="preserve">pas </w:t>
      </w:r>
      <w:r>
        <w:t>autorisées.</w:t>
      </w:r>
    </w:p>
    <w:p w14:paraId="2C453CCB" w14:textId="05B6A7BA" w:rsidR="00837F66" w:rsidRDefault="00837F66" w:rsidP="00872085"/>
    <w:p w14:paraId="4B4D3128" w14:textId="6E3EFE98" w:rsidR="00837F66" w:rsidRDefault="00837F66" w:rsidP="00872085">
      <w:r>
        <w:t xml:space="preserve">Le délai de validité des offres est fixé à </w:t>
      </w:r>
      <w:r w:rsidR="00CF6579">
        <w:t>120</w:t>
      </w:r>
      <w:r>
        <w:t xml:space="preserve"> jours à compter de la date limite de réception des offres.</w:t>
      </w:r>
    </w:p>
    <w:p w14:paraId="30A73ABA" w14:textId="1A84B469" w:rsidR="00837F66" w:rsidRDefault="00837F66" w:rsidP="00872085"/>
    <w:p w14:paraId="5911B0B4" w14:textId="77777777" w:rsidR="00F5265C" w:rsidRPr="00F5265C" w:rsidRDefault="00F5265C" w:rsidP="00F5265C">
      <w:bookmarkStart w:id="1" w:name="_Toc271018541"/>
      <w:bookmarkStart w:id="2" w:name="_Toc271025720"/>
      <w:bookmarkStart w:id="3" w:name="_Toc271026979"/>
      <w:bookmarkStart w:id="4" w:name="_Toc271034027"/>
      <w:bookmarkStart w:id="5" w:name="_Toc524525613"/>
    </w:p>
    <w:p w14:paraId="77C5983E" w14:textId="49ADE075" w:rsidR="00AF69F7" w:rsidRPr="00E506DC" w:rsidRDefault="00454AAD" w:rsidP="0014720C">
      <w:pPr>
        <w:pStyle w:val="Titre1"/>
        <w:numPr>
          <w:ilvl w:val="0"/>
          <w:numId w:val="10"/>
        </w:numPr>
      </w:pPr>
      <w:r w:rsidRPr="0014720C">
        <w:rPr>
          <w:color w:val="004494"/>
          <w:sz w:val="24"/>
          <w:szCs w:val="24"/>
        </w:rPr>
        <w:t>D</w:t>
      </w:r>
      <w:r w:rsidR="00AF69F7" w:rsidRPr="0014720C">
        <w:rPr>
          <w:color w:val="004494"/>
          <w:sz w:val="24"/>
          <w:szCs w:val="24"/>
        </w:rPr>
        <w:t>ossier de consultation</w:t>
      </w:r>
      <w:bookmarkEnd w:id="1"/>
      <w:bookmarkEnd w:id="2"/>
      <w:bookmarkEnd w:id="3"/>
      <w:bookmarkEnd w:id="4"/>
      <w:r w:rsidR="007314B1" w:rsidRPr="0014720C">
        <w:rPr>
          <w:color w:val="004494"/>
          <w:sz w:val="24"/>
          <w:szCs w:val="24"/>
        </w:rPr>
        <w:t xml:space="preserve"> des entreprises</w:t>
      </w:r>
      <w:r w:rsidR="00837F66" w:rsidRPr="0014720C">
        <w:rPr>
          <w:color w:val="004494"/>
          <w:sz w:val="24"/>
          <w:szCs w:val="24"/>
        </w:rPr>
        <w:t xml:space="preserve"> (DCE)</w:t>
      </w:r>
      <w:bookmarkEnd w:id="5"/>
    </w:p>
    <w:p w14:paraId="726E69B2" w14:textId="77777777" w:rsidR="00775BA9" w:rsidRPr="00E506DC" w:rsidRDefault="00775BA9" w:rsidP="009F0006">
      <w:pPr>
        <w:rPr>
          <w:rFonts w:cs="Arial"/>
        </w:rPr>
      </w:pPr>
    </w:p>
    <w:p w14:paraId="10D9D684" w14:textId="77777777" w:rsidR="00AF69F7" w:rsidRPr="00E506DC" w:rsidRDefault="00775BA9" w:rsidP="009F0006">
      <w:pPr>
        <w:rPr>
          <w:rFonts w:cs="Arial"/>
        </w:rPr>
      </w:pPr>
      <w:r w:rsidRPr="00E506DC">
        <w:rPr>
          <w:rFonts w:cs="Arial"/>
        </w:rPr>
        <w:t xml:space="preserve">Le dossier de consultation comprendra les </w:t>
      </w:r>
      <w:r w:rsidR="0020540F" w:rsidRPr="00E506DC">
        <w:rPr>
          <w:rFonts w:cs="Arial"/>
        </w:rPr>
        <w:t>documents suivant</w:t>
      </w:r>
      <w:r w:rsidRPr="00E506DC">
        <w:rPr>
          <w:rFonts w:cs="Arial"/>
        </w:rPr>
        <w:t>s :</w:t>
      </w:r>
    </w:p>
    <w:p w14:paraId="10073B61" w14:textId="77777777" w:rsidR="00775BA9" w:rsidRPr="00E506DC" w:rsidRDefault="00775BA9">
      <w:pPr>
        <w:ind w:left="360"/>
        <w:rPr>
          <w:rFonts w:cs="Arial"/>
        </w:rPr>
      </w:pPr>
    </w:p>
    <w:p w14:paraId="1E997006" w14:textId="77AAAA21" w:rsidR="00680B90" w:rsidRDefault="00BB4649" w:rsidP="008E2AB4">
      <w:pPr>
        <w:numPr>
          <w:ilvl w:val="0"/>
          <w:numId w:val="8"/>
        </w:numPr>
        <w:tabs>
          <w:tab w:val="clear" w:pos="1080"/>
        </w:tabs>
        <w:ind w:left="851"/>
        <w:rPr>
          <w:rFonts w:cs="Arial"/>
        </w:rPr>
      </w:pPr>
      <w:r w:rsidRPr="00E506DC">
        <w:rPr>
          <w:rFonts w:cs="Arial"/>
        </w:rPr>
        <w:t>L</w:t>
      </w:r>
      <w:r w:rsidR="00661FBF">
        <w:rPr>
          <w:rFonts w:cs="Arial"/>
        </w:rPr>
        <w:t>e</w:t>
      </w:r>
      <w:r w:rsidRPr="00E506DC">
        <w:rPr>
          <w:rFonts w:cs="Arial"/>
        </w:rPr>
        <w:t xml:space="preserve"> présent </w:t>
      </w:r>
      <w:r w:rsidR="00661FBF">
        <w:rPr>
          <w:rFonts w:cs="Arial"/>
        </w:rPr>
        <w:t>règlement de la</w:t>
      </w:r>
      <w:r w:rsidRPr="00E506DC">
        <w:rPr>
          <w:rFonts w:cs="Arial"/>
        </w:rPr>
        <w:t xml:space="preserve"> consultation</w:t>
      </w:r>
      <w:r w:rsidR="00454AAD">
        <w:rPr>
          <w:rFonts w:cs="Arial"/>
        </w:rPr>
        <w:t>,</w:t>
      </w:r>
    </w:p>
    <w:p w14:paraId="7F914651" w14:textId="42974A6C" w:rsidR="00C62E75" w:rsidRPr="00C62E75" w:rsidRDefault="00C62E75" w:rsidP="00C62E75">
      <w:pPr>
        <w:numPr>
          <w:ilvl w:val="0"/>
          <w:numId w:val="8"/>
        </w:numPr>
        <w:tabs>
          <w:tab w:val="clear" w:pos="1080"/>
        </w:tabs>
        <w:ind w:left="851"/>
        <w:rPr>
          <w:rFonts w:cs="Arial"/>
        </w:rPr>
      </w:pPr>
      <w:r>
        <w:rPr>
          <w:rFonts w:cs="Arial"/>
        </w:rPr>
        <w:t>L’acte d'engagement</w:t>
      </w:r>
      <w:r w:rsidR="004C4CCE">
        <w:rPr>
          <w:rFonts w:cs="Arial"/>
        </w:rPr>
        <w:t xml:space="preserve"> valant cahier des clauses particulières</w:t>
      </w:r>
      <w:r w:rsidR="004A43B3">
        <w:rPr>
          <w:rFonts w:cs="Arial"/>
        </w:rPr>
        <w:t>.</w:t>
      </w:r>
    </w:p>
    <w:p w14:paraId="6245929E" w14:textId="77777777" w:rsidR="00187176" w:rsidRPr="00187176" w:rsidRDefault="00187176" w:rsidP="004A43B3">
      <w:pPr>
        <w:rPr>
          <w:rFonts w:cs="Arial"/>
          <w:b/>
          <w:i/>
        </w:rPr>
      </w:pPr>
    </w:p>
    <w:p w14:paraId="1C365E64" w14:textId="04A6D451" w:rsidR="00454AAD" w:rsidRPr="00CA7781" w:rsidRDefault="00E13043" w:rsidP="002C5763">
      <w:pPr>
        <w:pStyle w:val="Titre7"/>
        <w:numPr>
          <w:ilvl w:val="1"/>
          <w:numId w:val="10"/>
        </w:numPr>
      </w:pPr>
      <w:bookmarkStart w:id="6" w:name="_Toc524525614"/>
      <w:r w:rsidRPr="00CA7781">
        <w:t>Obtention du DCE</w:t>
      </w:r>
      <w:bookmarkEnd w:id="6"/>
    </w:p>
    <w:p w14:paraId="19794CB1" w14:textId="1FE20723" w:rsidR="00E13043" w:rsidRPr="00E13043" w:rsidRDefault="00E13043" w:rsidP="00E13043">
      <w:pPr>
        <w:rPr>
          <w:rFonts w:cs="Arial"/>
        </w:rPr>
      </w:pPr>
    </w:p>
    <w:p w14:paraId="52F36C70" w14:textId="3CA4F286" w:rsidR="00E13043" w:rsidRDefault="00E13043" w:rsidP="00187176">
      <w:pPr>
        <w:rPr>
          <w:rFonts w:cs="Arial"/>
        </w:rPr>
      </w:pPr>
      <w:r w:rsidRPr="00E13043">
        <w:rPr>
          <w:rFonts w:cs="Arial"/>
        </w:rPr>
        <w:t>Le dossier de consultation des entreprises peut être téléchargé intégralement et gratuitement à partir d</w:t>
      </w:r>
      <w:r w:rsidR="001A2337">
        <w:rPr>
          <w:rFonts w:cs="Arial"/>
        </w:rPr>
        <w:t>e la plateforme PLACE.</w:t>
      </w:r>
    </w:p>
    <w:p w14:paraId="526C5C37" w14:textId="77777777" w:rsidR="00E13043" w:rsidRPr="00E13043" w:rsidRDefault="00E13043" w:rsidP="00E13043">
      <w:pPr>
        <w:rPr>
          <w:rFonts w:cs="Arial"/>
        </w:rPr>
      </w:pPr>
    </w:p>
    <w:p w14:paraId="5F93E618" w14:textId="38A81039" w:rsidR="00E13043" w:rsidRDefault="00E13043" w:rsidP="00E13043">
      <w:pPr>
        <w:rPr>
          <w:rFonts w:cs="Arial"/>
        </w:rPr>
      </w:pPr>
      <w:r w:rsidRPr="00E13043">
        <w:rPr>
          <w:rFonts w:cs="Arial"/>
        </w:rPr>
        <w:t>Afin de pouvoir décompresser et lire les documents de la consultation, les candidats sont invités à prendre connaissance des outils informatiques référencés sur la plateforme.</w:t>
      </w:r>
    </w:p>
    <w:p w14:paraId="228327E3" w14:textId="77777777" w:rsidR="00E13043" w:rsidRPr="00E13043" w:rsidRDefault="00E13043" w:rsidP="00E13043">
      <w:pPr>
        <w:rPr>
          <w:rFonts w:cs="Arial"/>
        </w:rPr>
      </w:pPr>
    </w:p>
    <w:p w14:paraId="47EF05A7" w14:textId="1C9DE664" w:rsidR="00E13043" w:rsidRDefault="00E13043" w:rsidP="00E13043">
      <w:pPr>
        <w:rPr>
          <w:rFonts w:cs="Arial"/>
        </w:rPr>
      </w:pPr>
      <w:r w:rsidRPr="00E13043">
        <w:rPr>
          <w:rFonts w:cs="Arial"/>
        </w:rPr>
        <w:t>Lors du téléchargement du DCE, le candidat est invité à renseigner le nom de l'organisme soumissionnaire, le nom de la personne physique téléchargeant les documents et une adresse électronique permettant de façon certaine une correspondance électronique, afin qu'il puisse bénéficier de toutes les informations complémentaires diffusées lors du déroulement de la présente consultation, en particulier les éventuelles précisions ou report de délais.</w:t>
      </w:r>
    </w:p>
    <w:p w14:paraId="709C4345" w14:textId="77777777" w:rsidR="00E13043" w:rsidRPr="00E13043" w:rsidRDefault="00E13043" w:rsidP="00E13043">
      <w:pPr>
        <w:rPr>
          <w:rFonts w:cs="Arial"/>
        </w:rPr>
      </w:pPr>
    </w:p>
    <w:p w14:paraId="3D38982A" w14:textId="0A02AC83" w:rsidR="00E13043" w:rsidRDefault="00E13043" w:rsidP="00E13043">
      <w:pPr>
        <w:rPr>
          <w:rFonts w:cs="Arial"/>
        </w:rPr>
      </w:pPr>
      <w:r w:rsidRPr="00E13043">
        <w:rPr>
          <w:rFonts w:cs="Arial"/>
        </w:rPr>
        <w:t>Le candidat ne pourra porter aucune réclamation s'il ne bénéficie pas de toutes les informations complémentaires diffusées par la plateforme de dématérialisation lors du déroulement de la présente consultation, en raison d'une erreur qu'il aurait faite dans la saisie de son adresse électronique, ou en cas de suppression de ladite adresse électronique ou en cas de téléchargement anonyme.</w:t>
      </w:r>
    </w:p>
    <w:p w14:paraId="23A0C108" w14:textId="691A2685" w:rsidR="0014720C" w:rsidRDefault="0014720C" w:rsidP="00E13043">
      <w:pPr>
        <w:rPr>
          <w:rFonts w:cs="Arial"/>
        </w:rPr>
      </w:pPr>
    </w:p>
    <w:p w14:paraId="2B44BB9F" w14:textId="48ED5B6E" w:rsidR="0014720C" w:rsidRPr="002C5763" w:rsidRDefault="0014720C" w:rsidP="002C5763">
      <w:pPr>
        <w:pStyle w:val="Titre7"/>
        <w:numPr>
          <w:ilvl w:val="1"/>
          <w:numId w:val="10"/>
        </w:numPr>
      </w:pPr>
      <w:bookmarkStart w:id="7" w:name="_Toc524525615"/>
      <w:r w:rsidRPr="002C5763">
        <w:t>Modification du DCE</w:t>
      </w:r>
      <w:bookmarkEnd w:id="7"/>
    </w:p>
    <w:p w14:paraId="17792FAC" w14:textId="12D262A3" w:rsidR="0014720C" w:rsidRDefault="0014720C" w:rsidP="0014720C">
      <w:pPr>
        <w:rPr>
          <w:rFonts w:cs="Arial"/>
        </w:rPr>
      </w:pPr>
    </w:p>
    <w:p w14:paraId="2EE6D5DA" w14:textId="73E39D3A" w:rsidR="0014720C" w:rsidRDefault="0014720C" w:rsidP="0014720C">
      <w:pPr>
        <w:rPr>
          <w:rFonts w:cs="Arial"/>
        </w:rPr>
      </w:pPr>
      <w:r w:rsidRPr="0014720C">
        <w:rPr>
          <w:rFonts w:cs="Arial"/>
        </w:rPr>
        <w:t>Les candidats n'ont pas de modification à apporter au DCE.</w:t>
      </w:r>
      <w:r w:rsidR="00D139B3">
        <w:rPr>
          <w:rFonts w:cs="Arial"/>
        </w:rPr>
        <w:t xml:space="preserve"> Notamment, </w:t>
      </w:r>
      <w:bookmarkStart w:id="8" w:name="_Hlk12890445"/>
      <w:r w:rsidR="00D139B3">
        <w:rPr>
          <w:rFonts w:cs="Arial"/>
        </w:rPr>
        <w:t xml:space="preserve">les conditions générales de vente des candidats ne seront pas acceptées par l’ANRU. </w:t>
      </w:r>
      <w:bookmarkEnd w:id="8"/>
    </w:p>
    <w:p w14:paraId="4CF8B0AD" w14:textId="77777777" w:rsidR="0014720C" w:rsidRPr="0014720C" w:rsidRDefault="0014720C" w:rsidP="0014720C">
      <w:pPr>
        <w:rPr>
          <w:rFonts w:cs="Arial"/>
        </w:rPr>
      </w:pPr>
    </w:p>
    <w:p w14:paraId="68A6D10D" w14:textId="4C78220D" w:rsidR="0014720C" w:rsidRDefault="0014720C" w:rsidP="0014720C">
      <w:pPr>
        <w:rPr>
          <w:rFonts w:cs="Arial"/>
        </w:rPr>
      </w:pPr>
      <w:r w:rsidRPr="0014720C">
        <w:rPr>
          <w:rFonts w:cs="Arial"/>
        </w:rPr>
        <w:t>Le pouvoir adjudicateur se réserve le droit d'apporter des modifications de détail au dossier de consultation des entreprises. Celles</w:t>
      </w:r>
      <w:r w:rsidRPr="0014720C">
        <w:rPr>
          <w:rFonts w:ascii="Cambria Math" w:hAnsi="Cambria Math" w:cs="Cambria Math"/>
        </w:rPr>
        <w:t>‐</w:t>
      </w:r>
      <w:r w:rsidRPr="0014720C">
        <w:rPr>
          <w:rFonts w:cs="Arial"/>
        </w:rPr>
        <w:t>ci seront portées à la connaissance des candidats avant la date limite de remise des plis figurant en page de garde du présent document.</w:t>
      </w:r>
    </w:p>
    <w:p w14:paraId="11ED59F5" w14:textId="77777777" w:rsidR="0014720C" w:rsidRPr="0014720C" w:rsidRDefault="0014720C" w:rsidP="0014720C">
      <w:pPr>
        <w:rPr>
          <w:rFonts w:cs="Arial"/>
        </w:rPr>
      </w:pPr>
    </w:p>
    <w:p w14:paraId="62AEDD27" w14:textId="59A0D5F5" w:rsidR="0014720C" w:rsidRDefault="0014720C" w:rsidP="0014720C">
      <w:pPr>
        <w:rPr>
          <w:rFonts w:cs="Arial"/>
        </w:rPr>
      </w:pPr>
      <w:r w:rsidRPr="0014720C">
        <w:rPr>
          <w:rFonts w:cs="Arial"/>
        </w:rPr>
        <w:t>Si le pouvoir adjudicateur estime que ce délai ne permet pas aux candidats de prendre connaissance des modifications et d'adapter leurs offres en conséquence, la date limite de remise des plis sera reportée, pour l'ensemble des candidats, à une date ultérieure appropriée.</w:t>
      </w:r>
    </w:p>
    <w:p w14:paraId="0A3CFC90" w14:textId="77777777" w:rsidR="0014720C" w:rsidRPr="0014720C" w:rsidRDefault="0014720C" w:rsidP="0014720C">
      <w:pPr>
        <w:rPr>
          <w:rFonts w:cs="Arial"/>
        </w:rPr>
      </w:pPr>
    </w:p>
    <w:p w14:paraId="2C1ECA94" w14:textId="37BF1B8C" w:rsidR="0014720C" w:rsidRDefault="0014720C" w:rsidP="0014720C">
      <w:pPr>
        <w:rPr>
          <w:rFonts w:cs="Arial"/>
        </w:rPr>
      </w:pPr>
      <w:r w:rsidRPr="0014720C">
        <w:rPr>
          <w:rFonts w:cs="Arial"/>
        </w:rPr>
        <w:t>Les candidats devront répondre sur la base du DCE modifié sans pouvoir élever de contestation à ce sujet.</w:t>
      </w:r>
    </w:p>
    <w:p w14:paraId="3990A6FF" w14:textId="7D635601" w:rsidR="00F87FA2" w:rsidRDefault="00F87FA2" w:rsidP="0014720C">
      <w:pPr>
        <w:rPr>
          <w:rFonts w:cs="Arial"/>
        </w:rPr>
      </w:pPr>
    </w:p>
    <w:p w14:paraId="66E76E9B" w14:textId="7E170EF7" w:rsidR="00F87FA2" w:rsidRPr="002C5763" w:rsidRDefault="00F87FA2" w:rsidP="002C5763">
      <w:pPr>
        <w:pStyle w:val="Titre7"/>
        <w:numPr>
          <w:ilvl w:val="1"/>
          <w:numId w:val="10"/>
        </w:numPr>
      </w:pPr>
      <w:r w:rsidRPr="002C5763">
        <w:t>Questions des candidats</w:t>
      </w:r>
    </w:p>
    <w:p w14:paraId="55A60AA5" w14:textId="5DF351F4" w:rsidR="00F87FA2" w:rsidRDefault="00F87FA2" w:rsidP="0014720C">
      <w:pPr>
        <w:rPr>
          <w:rFonts w:cs="Arial"/>
        </w:rPr>
      </w:pPr>
    </w:p>
    <w:p w14:paraId="5A9BDAB3" w14:textId="611F3370" w:rsidR="00F87FA2" w:rsidRDefault="00F87FA2" w:rsidP="0014720C">
      <w:pPr>
        <w:rPr>
          <w:rFonts w:cs="Arial"/>
        </w:rPr>
      </w:pPr>
      <w:r>
        <w:rPr>
          <w:rFonts w:cs="Arial"/>
        </w:rPr>
        <w:t xml:space="preserve">Les candidats désirant poser des questions sur le contenu du dossier de consultation des entreprises peuvent le faire via la plateforme PLACE a plus tard </w:t>
      </w:r>
      <w:r w:rsidR="00F95B92">
        <w:rPr>
          <w:rFonts w:cs="Arial"/>
        </w:rPr>
        <w:t>5</w:t>
      </w:r>
      <w:r>
        <w:rPr>
          <w:rFonts w:cs="Arial"/>
        </w:rPr>
        <w:t xml:space="preserve"> jours avant la date limite de remise des plis.</w:t>
      </w:r>
    </w:p>
    <w:p w14:paraId="0AAE5B2B" w14:textId="5DEC3CC9" w:rsidR="00AB35E7" w:rsidRDefault="00AB35E7" w:rsidP="00BB014A">
      <w:pPr>
        <w:overflowPunct/>
        <w:textAlignment w:val="auto"/>
        <w:rPr>
          <w:rFonts w:cs="Arial"/>
          <w:color w:val="000000"/>
        </w:rPr>
      </w:pPr>
      <w:bookmarkStart w:id="9" w:name="_Toc271025721"/>
      <w:bookmarkStart w:id="10" w:name="_Toc271026980"/>
      <w:bookmarkStart w:id="11" w:name="_Toc271034028"/>
    </w:p>
    <w:p w14:paraId="69602CDD" w14:textId="76710935" w:rsidR="002C5763" w:rsidRDefault="002C5763" w:rsidP="00BE53A7">
      <w:pPr>
        <w:pStyle w:val="Paragraphedeliste"/>
        <w:numPr>
          <w:ilvl w:val="0"/>
          <w:numId w:val="10"/>
        </w:numPr>
        <w:overflowPunct/>
        <w:textAlignment w:val="auto"/>
        <w:rPr>
          <w:b/>
          <w:color w:val="004494"/>
          <w:sz w:val="24"/>
          <w:szCs w:val="24"/>
        </w:rPr>
      </w:pPr>
      <w:r>
        <w:rPr>
          <w:b/>
          <w:color w:val="004494"/>
          <w:sz w:val="24"/>
          <w:szCs w:val="24"/>
        </w:rPr>
        <w:t>Groupements d’entreprises</w:t>
      </w:r>
    </w:p>
    <w:p w14:paraId="1B8C7BF6" w14:textId="77777777" w:rsidR="002C5763" w:rsidRDefault="002C5763" w:rsidP="002C5763">
      <w:pPr>
        <w:overflowPunct/>
        <w:rPr>
          <w:rFonts w:cs="Arial"/>
          <w:color w:val="000000"/>
        </w:rPr>
      </w:pPr>
    </w:p>
    <w:p w14:paraId="4BD4F747" w14:textId="1FEB28E4" w:rsidR="002C5763" w:rsidRDefault="002C5763" w:rsidP="002C5763">
      <w:pPr>
        <w:overflowPunct/>
        <w:rPr>
          <w:rFonts w:cs="Arial"/>
          <w:color w:val="000000"/>
        </w:rPr>
      </w:pPr>
      <w:r>
        <w:rPr>
          <w:rFonts w:cs="Arial"/>
          <w:color w:val="000000"/>
        </w:rPr>
        <w:t>En cas de groupement conjoint, le mandataire du groupement sera solidaire de l’ensemble des membres du groupement pour l’exécution de l’accord-cadre.</w:t>
      </w:r>
    </w:p>
    <w:p w14:paraId="441F2B85" w14:textId="77777777" w:rsidR="002C5763" w:rsidRDefault="002C5763" w:rsidP="002C5763">
      <w:pPr>
        <w:overflowPunct/>
        <w:rPr>
          <w:rFonts w:cs="Arial"/>
          <w:color w:val="000000"/>
        </w:rPr>
      </w:pPr>
    </w:p>
    <w:p w14:paraId="1363136F" w14:textId="77777777" w:rsidR="002C5763" w:rsidRDefault="002C5763" w:rsidP="002C5763">
      <w:pPr>
        <w:overflowPunct/>
        <w:rPr>
          <w:rFonts w:cs="Arial"/>
          <w:color w:val="000000"/>
        </w:rPr>
      </w:pPr>
      <w:r>
        <w:rPr>
          <w:rFonts w:cs="Arial"/>
          <w:color w:val="000000"/>
        </w:rPr>
        <w:t>Au stade de la remise des offres, en cas de candidature sous forme de groupement conjoint, le candidat indiquera dans son offre la répartition détaillée des prestations réalisées par chacun des membres du groupement.</w:t>
      </w:r>
    </w:p>
    <w:p w14:paraId="5AED3F1F" w14:textId="77777777" w:rsidR="002C5763" w:rsidRDefault="002C5763" w:rsidP="002C5763">
      <w:pPr>
        <w:rPr>
          <w:rFonts w:cs="Arial"/>
        </w:rPr>
      </w:pPr>
    </w:p>
    <w:p w14:paraId="138449E5" w14:textId="77777777" w:rsidR="002C5763" w:rsidRDefault="002C5763" w:rsidP="002C5763">
      <w:pPr>
        <w:rPr>
          <w:rFonts w:cs="Arial"/>
        </w:rPr>
      </w:pPr>
      <w:r>
        <w:rPr>
          <w:rFonts w:cs="Arial"/>
        </w:rPr>
        <w:t xml:space="preserve">La composition du groupement ne peut être modifiée entre la date de remise des candidatures et la date de signature de l’accord-cadre, sous réserve des exceptions mentionnées à l’article R. 2142-26 du Code de la commande publique. </w:t>
      </w:r>
    </w:p>
    <w:p w14:paraId="55138180" w14:textId="77777777" w:rsidR="002C5763" w:rsidRDefault="002C5763" w:rsidP="002C5763">
      <w:pPr>
        <w:rPr>
          <w:rFonts w:cs="Arial"/>
        </w:rPr>
      </w:pPr>
    </w:p>
    <w:p w14:paraId="578F5DD6" w14:textId="77777777" w:rsidR="002C5763" w:rsidRDefault="002C5763" w:rsidP="002C5763">
      <w:pPr>
        <w:rPr>
          <w:rFonts w:cs="Arial"/>
        </w:rPr>
      </w:pPr>
      <w:r>
        <w:rPr>
          <w:rFonts w:cs="Arial"/>
        </w:rPr>
        <w:t>Il est interdit de se présenter :</w:t>
      </w:r>
    </w:p>
    <w:p w14:paraId="320FCD15" w14:textId="77777777" w:rsidR="002C5763" w:rsidRDefault="002C5763" w:rsidP="002C5763">
      <w:pPr>
        <w:rPr>
          <w:rFonts w:cs="Arial"/>
        </w:rPr>
      </w:pPr>
    </w:p>
    <w:p w14:paraId="233B7F83" w14:textId="77777777" w:rsidR="002C5763" w:rsidRDefault="002C5763" w:rsidP="002C5763">
      <w:pPr>
        <w:pStyle w:val="Paragraphedeliste"/>
        <w:numPr>
          <w:ilvl w:val="0"/>
          <w:numId w:val="27"/>
        </w:numPr>
        <w:textAlignment w:val="auto"/>
        <w:rPr>
          <w:rFonts w:cs="Arial"/>
        </w:rPr>
      </w:pPr>
      <w:r>
        <w:rPr>
          <w:rFonts w:cs="Arial"/>
        </w:rPr>
        <w:t>En qualité de candidats individuels et de membres d’un ou plusieurs groupements ;</w:t>
      </w:r>
    </w:p>
    <w:p w14:paraId="3C97991C" w14:textId="77777777" w:rsidR="002C5763" w:rsidRDefault="002C5763" w:rsidP="002C5763">
      <w:pPr>
        <w:pStyle w:val="Paragraphedeliste"/>
        <w:numPr>
          <w:ilvl w:val="0"/>
          <w:numId w:val="27"/>
        </w:numPr>
        <w:textAlignment w:val="auto"/>
        <w:rPr>
          <w:rFonts w:cs="Arial"/>
        </w:rPr>
      </w:pPr>
      <w:r>
        <w:rPr>
          <w:rFonts w:cs="Arial"/>
        </w:rPr>
        <w:t xml:space="preserve">En qualité de membres de plusieurs groupements. </w:t>
      </w:r>
    </w:p>
    <w:p w14:paraId="1ED99CD1" w14:textId="77777777" w:rsidR="002C5763" w:rsidRDefault="002C5763" w:rsidP="002C5763">
      <w:pPr>
        <w:rPr>
          <w:rFonts w:cs="Arial"/>
        </w:rPr>
      </w:pPr>
    </w:p>
    <w:p w14:paraId="16FF2D4F" w14:textId="77777777" w:rsidR="002C5763" w:rsidRDefault="002C5763" w:rsidP="002C5763">
      <w:pPr>
        <w:rPr>
          <w:rFonts w:cs="Arial"/>
        </w:rPr>
      </w:pPr>
      <w:r>
        <w:rPr>
          <w:rFonts w:cs="Arial"/>
        </w:rPr>
        <w:t>Conformément à l’article R. 2142-25 du Code de la commande publique, « l’appréciation des capacités d’un groupement d’opérateurs économiques est globale. Il n’est pas exigé que chaque membre du groupement ait la totalité des capacités requises pour exécuter le marché public</w:t>
      </w:r>
    </w:p>
    <w:p w14:paraId="697B3A5A" w14:textId="77777777" w:rsidR="002C5763" w:rsidRPr="002C5763" w:rsidRDefault="002C5763" w:rsidP="002C5763">
      <w:pPr>
        <w:overflowPunct/>
        <w:textAlignment w:val="auto"/>
        <w:rPr>
          <w:b/>
          <w:color w:val="004494"/>
          <w:sz w:val="24"/>
          <w:szCs w:val="24"/>
        </w:rPr>
      </w:pPr>
    </w:p>
    <w:p w14:paraId="368BD906" w14:textId="395ABF0D" w:rsidR="00BE53A7" w:rsidRPr="005403DE" w:rsidRDefault="00BE53A7" w:rsidP="00BE53A7">
      <w:pPr>
        <w:pStyle w:val="Paragraphedeliste"/>
        <w:numPr>
          <w:ilvl w:val="0"/>
          <w:numId w:val="10"/>
        </w:numPr>
        <w:overflowPunct/>
        <w:textAlignment w:val="auto"/>
        <w:rPr>
          <w:b/>
          <w:color w:val="004494"/>
          <w:sz w:val="24"/>
          <w:szCs w:val="24"/>
        </w:rPr>
      </w:pPr>
      <w:r w:rsidRPr="005403DE">
        <w:rPr>
          <w:b/>
          <w:color w:val="004494"/>
          <w:sz w:val="24"/>
          <w:szCs w:val="24"/>
        </w:rPr>
        <w:t>Présentation des candidatures et des offres</w:t>
      </w:r>
    </w:p>
    <w:p w14:paraId="11C487AA" w14:textId="77777777" w:rsidR="006A4B96" w:rsidRDefault="006A4B96" w:rsidP="006A4B96">
      <w:pPr>
        <w:pStyle w:val="Paragraphedeliste"/>
        <w:overflowPunct/>
        <w:ind w:left="720"/>
        <w:textAlignment w:val="auto"/>
        <w:rPr>
          <w:rFonts w:cs="Arial"/>
          <w:color w:val="000000"/>
        </w:rPr>
      </w:pPr>
    </w:p>
    <w:p w14:paraId="50362998" w14:textId="3B954A24" w:rsidR="00BE53A7" w:rsidRDefault="006A4B96" w:rsidP="00BE53A7">
      <w:pPr>
        <w:overflowPunct/>
        <w:textAlignment w:val="auto"/>
        <w:rPr>
          <w:rFonts w:cs="Arial"/>
          <w:color w:val="000000"/>
        </w:rPr>
      </w:pPr>
      <w:r w:rsidRPr="006A4B96">
        <w:rPr>
          <w:rFonts w:cs="Arial"/>
          <w:color w:val="000000"/>
        </w:rPr>
        <w:t>Les documents relatifs aux candidatures et aux offres sont rédigés en langue française. Lorsqu’ils sont rédigés dans une autre langue, ils sont accompagnés d’une traduction en français. L’unité monétaire utilisée est l’Euro.</w:t>
      </w:r>
    </w:p>
    <w:bookmarkEnd w:id="9"/>
    <w:bookmarkEnd w:id="10"/>
    <w:bookmarkEnd w:id="11"/>
    <w:p w14:paraId="5D0C6CC9" w14:textId="77777777" w:rsidR="00AF69F7" w:rsidRPr="00E506DC" w:rsidRDefault="00AF69F7">
      <w:pPr>
        <w:ind w:left="709"/>
        <w:rPr>
          <w:rFonts w:cs="Arial"/>
        </w:rPr>
      </w:pPr>
    </w:p>
    <w:p w14:paraId="40B63023" w14:textId="2299B6CF" w:rsidR="00AF69F7" w:rsidRPr="00E506DC" w:rsidRDefault="00AF69F7">
      <w:pPr>
        <w:rPr>
          <w:rFonts w:cs="Arial"/>
        </w:rPr>
      </w:pPr>
      <w:r w:rsidRPr="00E506DC">
        <w:rPr>
          <w:rFonts w:cs="Arial"/>
        </w:rPr>
        <w:t xml:space="preserve">Le dossier de réponse du candidat comportera : </w:t>
      </w:r>
    </w:p>
    <w:p w14:paraId="286195BE" w14:textId="77777777" w:rsidR="00D55EF6" w:rsidRPr="002E6438" w:rsidRDefault="00D55EF6">
      <w:pPr>
        <w:rPr>
          <w:rFonts w:cs="Arial"/>
          <w:bCs/>
        </w:rPr>
      </w:pPr>
    </w:p>
    <w:p w14:paraId="40E9732D" w14:textId="10F61CA8" w:rsidR="0008258F" w:rsidRDefault="0008258F" w:rsidP="006E3939">
      <w:pPr>
        <w:pStyle w:val="Paragraphedeliste"/>
        <w:numPr>
          <w:ilvl w:val="0"/>
          <w:numId w:val="19"/>
        </w:numPr>
        <w:overflowPunct/>
        <w:autoSpaceDE/>
        <w:autoSpaceDN/>
        <w:adjustRightInd/>
        <w:spacing w:before="120" w:after="160" w:line="259" w:lineRule="auto"/>
        <w:ind w:hanging="357"/>
        <w:textAlignment w:val="auto"/>
        <w:rPr>
          <w:rFonts w:cs="Arial"/>
          <w:bCs/>
        </w:rPr>
      </w:pPr>
      <w:r w:rsidRPr="002E6438">
        <w:rPr>
          <w:rFonts w:cs="Arial"/>
          <w:bCs/>
        </w:rPr>
        <w:t>Les formulaires DC1 et DC2 (pouvant être remplacés par le dispositif DUME),</w:t>
      </w:r>
    </w:p>
    <w:p w14:paraId="4CB6236F" w14:textId="269D6402" w:rsidR="006223B9" w:rsidRDefault="006223B9" w:rsidP="006E3939">
      <w:pPr>
        <w:pStyle w:val="Paragraphedeliste"/>
        <w:numPr>
          <w:ilvl w:val="0"/>
          <w:numId w:val="19"/>
        </w:numPr>
        <w:overflowPunct/>
        <w:autoSpaceDE/>
        <w:autoSpaceDN/>
        <w:adjustRightInd/>
        <w:spacing w:before="120" w:after="160" w:line="259" w:lineRule="auto"/>
        <w:ind w:hanging="357"/>
        <w:textAlignment w:val="auto"/>
        <w:rPr>
          <w:rFonts w:cs="Arial"/>
          <w:bCs/>
        </w:rPr>
      </w:pPr>
      <w:r>
        <w:rPr>
          <w:rFonts w:cs="Arial"/>
          <w:bCs/>
        </w:rPr>
        <w:t>Une liste des principaux services de même nature que ceux du marché envisagé réalisés au cours des trois derniers exercices ;</w:t>
      </w:r>
    </w:p>
    <w:p w14:paraId="79DF7D32" w14:textId="523C4817" w:rsidR="0008258F" w:rsidRPr="00584755" w:rsidRDefault="0008258F" w:rsidP="0008258F">
      <w:pPr>
        <w:pStyle w:val="Paragraphedeliste"/>
        <w:numPr>
          <w:ilvl w:val="0"/>
          <w:numId w:val="19"/>
        </w:numPr>
        <w:overflowPunct/>
        <w:autoSpaceDE/>
        <w:autoSpaceDN/>
        <w:adjustRightInd/>
        <w:spacing w:before="120" w:after="160" w:line="259" w:lineRule="auto"/>
        <w:ind w:hanging="357"/>
        <w:textAlignment w:val="auto"/>
        <w:rPr>
          <w:rFonts w:cs="Arial"/>
          <w:bCs/>
        </w:rPr>
      </w:pPr>
      <w:r w:rsidRPr="00584755">
        <w:rPr>
          <w:rFonts w:cs="Arial"/>
          <w:bCs/>
        </w:rPr>
        <w:t xml:space="preserve">L’acte d'engagement complété, </w:t>
      </w:r>
    </w:p>
    <w:p w14:paraId="7026DDA7" w14:textId="273B89B8" w:rsidR="004A43B3" w:rsidRPr="004A43B3" w:rsidRDefault="004A43B3" w:rsidP="004A43B3">
      <w:pPr>
        <w:pStyle w:val="Paragraphedeliste"/>
        <w:numPr>
          <w:ilvl w:val="0"/>
          <w:numId w:val="19"/>
        </w:numPr>
        <w:overflowPunct/>
        <w:autoSpaceDE/>
        <w:autoSpaceDN/>
        <w:adjustRightInd/>
        <w:spacing w:before="120" w:after="160" w:line="259" w:lineRule="auto"/>
        <w:textAlignment w:val="auto"/>
        <w:rPr>
          <w:rFonts w:cs="Arial"/>
          <w:bCs/>
          <w:u w:val="single"/>
        </w:rPr>
      </w:pPr>
      <w:r>
        <w:rPr>
          <w:rFonts w:cs="Arial"/>
          <w:bCs/>
        </w:rPr>
        <w:t xml:space="preserve">Un mémoire technique faisant apparaître : </w:t>
      </w:r>
    </w:p>
    <w:p w14:paraId="1A5C7401" w14:textId="3199DFED" w:rsidR="004A43B3" w:rsidRPr="004A43B3" w:rsidRDefault="004A43B3" w:rsidP="004A43B3">
      <w:pPr>
        <w:pStyle w:val="Paragraphedeliste"/>
        <w:numPr>
          <w:ilvl w:val="1"/>
          <w:numId w:val="19"/>
        </w:numPr>
        <w:overflowPunct/>
        <w:autoSpaceDE/>
        <w:autoSpaceDN/>
        <w:adjustRightInd/>
        <w:spacing w:before="120" w:after="160" w:line="259" w:lineRule="auto"/>
        <w:textAlignment w:val="auto"/>
        <w:rPr>
          <w:rFonts w:cs="Arial"/>
          <w:bCs/>
        </w:rPr>
      </w:pPr>
      <w:r w:rsidRPr="004A43B3">
        <w:rPr>
          <w:rFonts w:cs="Arial"/>
          <w:bCs/>
        </w:rPr>
        <w:t>Un</w:t>
      </w:r>
      <w:r>
        <w:rPr>
          <w:rFonts w:cs="Arial"/>
          <w:bCs/>
        </w:rPr>
        <w:t>e</w:t>
      </w:r>
      <w:r w:rsidRPr="004A43B3">
        <w:rPr>
          <w:rFonts w:cs="Arial"/>
          <w:bCs/>
        </w:rPr>
        <w:t xml:space="preserve"> note d’une page maximum dans laquelle le candidat expose sa compréhension de la définition du besoin exprimé à l’acte d'engagement</w:t>
      </w:r>
      <w:r>
        <w:rPr>
          <w:rFonts w:cs="Arial"/>
          <w:bCs/>
        </w:rPr>
        <w:t> ;</w:t>
      </w:r>
    </w:p>
    <w:p w14:paraId="321F2AA4" w14:textId="30CBED54" w:rsidR="004A43B3" w:rsidRPr="004A43B3" w:rsidRDefault="004A43B3" w:rsidP="004A43B3">
      <w:pPr>
        <w:pStyle w:val="Paragraphedeliste"/>
        <w:numPr>
          <w:ilvl w:val="1"/>
          <w:numId w:val="19"/>
        </w:numPr>
        <w:overflowPunct/>
        <w:autoSpaceDE/>
        <w:autoSpaceDN/>
        <w:adjustRightInd/>
        <w:spacing w:before="120" w:after="160" w:line="259" w:lineRule="auto"/>
        <w:textAlignment w:val="auto"/>
        <w:rPr>
          <w:rFonts w:cs="Arial"/>
          <w:bCs/>
          <w:u w:val="single"/>
        </w:rPr>
      </w:pPr>
      <w:r>
        <w:rPr>
          <w:rFonts w:cs="Arial"/>
          <w:bCs/>
        </w:rPr>
        <w:t>La personne ou l’équipe proposée pour réaliser les prestations (CV avec expérience des personnes dans le domaine concerné) ;</w:t>
      </w:r>
    </w:p>
    <w:p w14:paraId="4336153E" w14:textId="2A66612A" w:rsidR="004A43B3" w:rsidRPr="004A43B3" w:rsidRDefault="004A43B3" w:rsidP="004A43B3">
      <w:pPr>
        <w:pStyle w:val="Paragraphedeliste"/>
        <w:numPr>
          <w:ilvl w:val="1"/>
          <w:numId w:val="19"/>
        </w:numPr>
        <w:overflowPunct/>
        <w:autoSpaceDE/>
        <w:autoSpaceDN/>
        <w:adjustRightInd/>
        <w:spacing w:before="120" w:after="160" w:line="259" w:lineRule="auto"/>
        <w:textAlignment w:val="auto"/>
        <w:rPr>
          <w:rFonts w:cs="Arial"/>
          <w:bCs/>
          <w:u w:val="single"/>
        </w:rPr>
      </w:pPr>
      <w:r>
        <w:rPr>
          <w:rFonts w:cs="Arial"/>
          <w:bCs/>
        </w:rPr>
        <w:t>La méthodologie proposée (3 pages maximum).</w:t>
      </w:r>
    </w:p>
    <w:p w14:paraId="12343C73" w14:textId="06546EAF" w:rsidR="00D06759" w:rsidRPr="004A43B3" w:rsidRDefault="00D06759" w:rsidP="004A43B3">
      <w:pPr>
        <w:overflowPunct/>
        <w:autoSpaceDE/>
        <w:autoSpaceDN/>
        <w:adjustRightInd/>
        <w:spacing w:before="120" w:after="160" w:line="259" w:lineRule="auto"/>
        <w:textAlignment w:val="auto"/>
        <w:rPr>
          <w:rFonts w:cs="Arial"/>
          <w:bCs/>
          <w:u w:val="single"/>
        </w:rPr>
      </w:pPr>
      <w:r w:rsidRPr="004A43B3">
        <w:rPr>
          <w:rFonts w:cs="Arial"/>
          <w:bCs/>
          <w:u w:val="single"/>
        </w:rPr>
        <w:t>Les plaquettes commerciales et autres documents-types que les candidats joindront à leur offre ne seront pas pris en compte pour l’analyse des offres.</w:t>
      </w:r>
    </w:p>
    <w:p w14:paraId="1E1C92C1" w14:textId="313F1C31" w:rsidR="00AF69F7" w:rsidRPr="005403DE" w:rsidRDefault="005403DE" w:rsidP="005403DE">
      <w:pPr>
        <w:pStyle w:val="Titre2"/>
        <w:numPr>
          <w:ilvl w:val="0"/>
          <w:numId w:val="10"/>
        </w:numPr>
        <w:tabs>
          <w:tab w:val="clear" w:pos="3240"/>
          <w:tab w:val="left" w:pos="567"/>
        </w:tabs>
        <w:rPr>
          <w:color w:val="004494"/>
          <w:sz w:val="24"/>
          <w:szCs w:val="24"/>
        </w:rPr>
      </w:pPr>
      <w:bookmarkStart w:id="12" w:name="_Toc524525617"/>
      <w:r w:rsidRPr="005403DE">
        <w:rPr>
          <w:color w:val="004494"/>
          <w:sz w:val="24"/>
          <w:szCs w:val="24"/>
        </w:rPr>
        <w:lastRenderedPageBreak/>
        <w:t>Transmission des plis</w:t>
      </w:r>
      <w:bookmarkEnd w:id="12"/>
    </w:p>
    <w:p w14:paraId="4936C5B0" w14:textId="77777777" w:rsidR="00AF69F7" w:rsidRPr="00E506DC" w:rsidRDefault="00AF69F7">
      <w:pPr>
        <w:rPr>
          <w:rFonts w:cs="Arial"/>
        </w:rPr>
      </w:pPr>
    </w:p>
    <w:p w14:paraId="6915E496" w14:textId="77777777" w:rsidR="001A2337" w:rsidRPr="00852EFB" w:rsidRDefault="00FF12BB" w:rsidP="001A2337">
      <w:pPr>
        <w:rPr>
          <w:rFonts w:eastAsia="Arial" w:cs="Arial"/>
          <w:spacing w:val="1"/>
        </w:rPr>
      </w:pPr>
      <w:r>
        <w:rPr>
          <w:rFonts w:cs="Arial"/>
        </w:rPr>
        <w:t>La date limite de remise des plis est indiquée en page de garde du présent document.</w:t>
      </w:r>
      <w:r w:rsidR="001A2337">
        <w:rPr>
          <w:rFonts w:cs="Arial"/>
        </w:rPr>
        <w:t xml:space="preserve"> </w:t>
      </w:r>
      <w:r w:rsidR="001A2337" w:rsidRPr="00852EFB">
        <w:rPr>
          <w:rFonts w:eastAsia="Arial" w:cs="Arial"/>
          <w:spacing w:val="1"/>
        </w:rPr>
        <w:t xml:space="preserve">Les </w:t>
      </w:r>
      <w:r w:rsidR="001A2337">
        <w:rPr>
          <w:rFonts w:eastAsia="Arial" w:cs="Arial"/>
          <w:spacing w:val="1"/>
        </w:rPr>
        <w:t>candidatures</w:t>
      </w:r>
      <w:r w:rsidR="001A2337" w:rsidRPr="00852EFB">
        <w:rPr>
          <w:rFonts w:eastAsia="Arial" w:cs="Arial"/>
          <w:spacing w:val="1"/>
        </w:rPr>
        <w:t xml:space="preserve"> transmises hors délai s</w:t>
      </w:r>
      <w:r w:rsidR="001A2337">
        <w:rPr>
          <w:rFonts w:eastAsia="Arial" w:cs="Arial"/>
          <w:spacing w:val="1"/>
        </w:rPr>
        <w:t>er</w:t>
      </w:r>
      <w:r w:rsidR="001A2337" w:rsidRPr="00852EFB">
        <w:rPr>
          <w:rFonts w:eastAsia="Arial" w:cs="Arial"/>
          <w:spacing w:val="1"/>
        </w:rPr>
        <w:t xml:space="preserve">ont éliminées. </w:t>
      </w:r>
    </w:p>
    <w:p w14:paraId="2810FC36" w14:textId="12DE3439" w:rsidR="00FF12BB" w:rsidRDefault="00FF12BB" w:rsidP="00EA5F8D">
      <w:pPr>
        <w:overflowPunct/>
        <w:autoSpaceDE/>
        <w:autoSpaceDN/>
        <w:adjustRightInd/>
        <w:spacing w:before="39" w:line="228" w:lineRule="exact"/>
        <w:ind w:right="161"/>
        <w:textAlignment w:val="auto"/>
        <w:rPr>
          <w:rFonts w:eastAsia="Arial" w:cs="Arial"/>
        </w:rPr>
      </w:pPr>
    </w:p>
    <w:p w14:paraId="6BF9A13E" w14:textId="1FECD727" w:rsidR="00F87CFE" w:rsidRPr="002E6438" w:rsidRDefault="00FF12BB" w:rsidP="003F67C1">
      <w:pPr>
        <w:jc w:val="left"/>
        <w:rPr>
          <w:rFonts w:cs="Arial"/>
          <w:bCs/>
          <w:u w:val="single"/>
        </w:rPr>
      </w:pPr>
      <w:r w:rsidRPr="002E6438">
        <w:rPr>
          <w:rFonts w:cs="Arial"/>
          <w:bCs/>
          <w:u w:val="single"/>
        </w:rPr>
        <w:t>Les plis sont transmis par voie électronique uniquement</w:t>
      </w:r>
      <w:r w:rsidR="001A2337" w:rsidRPr="002E6438">
        <w:rPr>
          <w:rFonts w:cs="Arial"/>
          <w:bCs/>
          <w:u w:val="single"/>
        </w:rPr>
        <w:t xml:space="preserve"> sur la plateforme PLACE.</w:t>
      </w:r>
    </w:p>
    <w:p w14:paraId="5C06B3D4" w14:textId="4B9AE33B" w:rsidR="00F87CFE" w:rsidRDefault="00F87CFE">
      <w:pPr>
        <w:overflowPunct/>
        <w:autoSpaceDE/>
        <w:autoSpaceDN/>
        <w:adjustRightInd/>
        <w:jc w:val="left"/>
        <w:textAlignment w:val="auto"/>
        <w:rPr>
          <w:rFonts w:cs="Arial"/>
          <w:b/>
          <w:u w:val="single"/>
        </w:rPr>
      </w:pPr>
    </w:p>
    <w:p w14:paraId="57390945" w14:textId="4E949B8D" w:rsidR="00C34F90" w:rsidRPr="00C34F90" w:rsidRDefault="00C34F90" w:rsidP="00C34F90">
      <w:pPr>
        <w:pStyle w:val="Paragraphedeliste"/>
        <w:numPr>
          <w:ilvl w:val="0"/>
          <w:numId w:val="10"/>
        </w:numPr>
        <w:overflowPunct/>
        <w:ind w:hanging="436"/>
        <w:textAlignment w:val="auto"/>
        <w:rPr>
          <w:b/>
          <w:color w:val="004494"/>
          <w:sz w:val="24"/>
          <w:szCs w:val="24"/>
        </w:rPr>
      </w:pPr>
      <w:r w:rsidRPr="00C34F90">
        <w:rPr>
          <w:b/>
          <w:color w:val="004494"/>
          <w:sz w:val="24"/>
          <w:szCs w:val="24"/>
        </w:rPr>
        <w:t>Jugement des offres</w:t>
      </w:r>
    </w:p>
    <w:p w14:paraId="3DD6DDA7" w14:textId="77777777" w:rsidR="00AF69F7" w:rsidRPr="00E506DC" w:rsidRDefault="00AF69F7">
      <w:pPr>
        <w:rPr>
          <w:rFonts w:cs="Arial"/>
        </w:rPr>
      </w:pPr>
    </w:p>
    <w:p w14:paraId="285E3924" w14:textId="7BD5DA25" w:rsidR="00995F95" w:rsidRPr="00E506DC" w:rsidRDefault="006A793C" w:rsidP="000F7E68">
      <w:pPr>
        <w:pStyle w:val="Paragraphedeliste"/>
        <w:tabs>
          <w:tab w:val="left" w:pos="360"/>
          <w:tab w:val="left" w:pos="1418"/>
        </w:tabs>
        <w:overflowPunct/>
        <w:autoSpaceDE/>
        <w:autoSpaceDN/>
        <w:adjustRightInd/>
        <w:ind w:left="0" w:right="-44"/>
        <w:contextualSpacing/>
        <w:textAlignment w:val="auto"/>
        <w:rPr>
          <w:rFonts w:cs="Arial"/>
        </w:rPr>
      </w:pPr>
      <w:r>
        <w:rPr>
          <w:rFonts w:cs="Arial"/>
        </w:rPr>
        <w:t>L’analyse et la notation des offres seront réalisée</w:t>
      </w:r>
      <w:r w:rsidR="009244B8">
        <w:rPr>
          <w:rFonts w:cs="Arial"/>
        </w:rPr>
        <w:t>s</w:t>
      </w:r>
      <w:r>
        <w:rPr>
          <w:rFonts w:cs="Arial"/>
        </w:rPr>
        <w:t xml:space="preserve"> sur la base des critères suivants</w:t>
      </w:r>
    </w:p>
    <w:p w14:paraId="41C2F438" w14:textId="77777777" w:rsidR="006825CB" w:rsidRPr="00E506DC" w:rsidRDefault="006825CB" w:rsidP="006825CB">
      <w:pPr>
        <w:pStyle w:val="Corpsdetexte2"/>
        <w:rPr>
          <w:rFonts w:cs="Arial"/>
          <w:sz w:val="20"/>
        </w:rPr>
      </w:pPr>
    </w:p>
    <w:tbl>
      <w:tblPr>
        <w:tblW w:w="907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268"/>
        <w:gridCol w:w="5245"/>
        <w:gridCol w:w="1559"/>
      </w:tblGrid>
      <w:tr w:rsidR="006825CB" w:rsidRPr="00E506DC" w14:paraId="6E91CF14" w14:textId="77777777" w:rsidTr="004A43B3">
        <w:trPr>
          <w:trHeight w:val="221"/>
        </w:trPr>
        <w:tc>
          <w:tcPr>
            <w:tcW w:w="2268" w:type="dxa"/>
            <w:tcBorders>
              <w:bottom w:val="single" w:sz="8" w:space="0" w:color="auto"/>
            </w:tcBorders>
            <w:shd w:val="clear" w:color="auto" w:fill="C0C0C0"/>
            <w:tcMar>
              <w:top w:w="0" w:type="dxa"/>
              <w:left w:w="108" w:type="dxa"/>
              <w:bottom w:w="0" w:type="dxa"/>
              <w:right w:w="108" w:type="dxa"/>
            </w:tcMar>
            <w:vAlign w:val="center"/>
            <w:hideMark/>
          </w:tcPr>
          <w:p w14:paraId="6F1FCF86" w14:textId="77777777" w:rsidR="006825CB" w:rsidRPr="00AC2448" w:rsidRDefault="006825CB" w:rsidP="00BC575F">
            <w:pPr>
              <w:jc w:val="left"/>
              <w:rPr>
                <w:rFonts w:eastAsia="Calibri" w:cs="Arial"/>
                <w:b/>
                <w:bCs/>
              </w:rPr>
            </w:pPr>
            <w:r w:rsidRPr="00AC2448">
              <w:rPr>
                <w:rFonts w:cs="Arial"/>
                <w:b/>
                <w:bCs/>
              </w:rPr>
              <w:t>Critère</w:t>
            </w:r>
          </w:p>
        </w:tc>
        <w:tc>
          <w:tcPr>
            <w:tcW w:w="5245" w:type="dxa"/>
            <w:tcBorders>
              <w:bottom w:val="single" w:sz="8" w:space="0" w:color="auto"/>
            </w:tcBorders>
            <w:shd w:val="clear" w:color="auto" w:fill="C0C0C0"/>
            <w:tcMar>
              <w:top w:w="0" w:type="dxa"/>
              <w:left w:w="108" w:type="dxa"/>
              <w:bottom w:w="0" w:type="dxa"/>
              <w:right w:w="108" w:type="dxa"/>
            </w:tcMar>
            <w:vAlign w:val="center"/>
            <w:hideMark/>
          </w:tcPr>
          <w:p w14:paraId="096DD814" w14:textId="77777777" w:rsidR="005D0F1C" w:rsidRPr="00AC2448" w:rsidRDefault="005D0F1C" w:rsidP="00BC575F">
            <w:pPr>
              <w:jc w:val="left"/>
              <w:rPr>
                <w:rFonts w:eastAsia="Calibri" w:cs="Arial"/>
                <w:b/>
                <w:bCs/>
              </w:rPr>
            </w:pPr>
            <w:r w:rsidRPr="00AC2448">
              <w:rPr>
                <w:rFonts w:cs="Arial"/>
                <w:b/>
                <w:bCs/>
              </w:rPr>
              <w:t>Axes d'analyse</w:t>
            </w:r>
          </w:p>
        </w:tc>
        <w:tc>
          <w:tcPr>
            <w:tcW w:w="1559" w:type="dxa"/>
            <w:tcBorders>
              <w:bottom w:val="single" w:sz="8" w:space="0" w:color="auto"/>
            </w:tcBorders>
            <w:shd w:val="clear" w:color="auto" w:fill="C0C0C0"/>
            <w:tcMar>
              <w:top w:w="0" w:type="dxa"/>
              <w:left w:w="108" w:type="dxa"/>
              <w:bottom w:w="0" w:type="dxa"/>
              <w:right w:w="108" w:type="dxa"/>
            </w:tcMar>
            <w:vAlign w:val="center"/>
            <w:hideMark/>
          </w:tcPr>
          <w:p w14:paraId="56073BE6" w14:textId="77777777" w:rsidR="006825CB" w:rsidRPr="00AC2448" w:rsidRDefault="006825CB" w:rsidP="00BC575F">
            <w:pPr>
              <w:jc w:val="left"/>
              <w:rPr>
                <w:rFonts w:eastAsia="Calibri" w:cs="Arial"/>
                <w:b/>
                <w:bCs/>
              </w:rPr>
            </w:pPr>
            <w:r w:rsidRPr="00AC2448">
              <w:rPr>
                <w:rFonts w:cs="Arial"/>
                <w:b/>
                <w:bCs/>
              </w:rPr>
              <w:t>Pondération</w:t>
            </w:r>
          </w:p>
        </w:tc>
      </w:tr>
      <w:tr w:rsidR="006A793C" w:rsidRPr="00E506DC" w14:paraId="5F138C66" w14:textId="77777777" w:rsidTr="004A43B3">
        <w:trPr>
          <w:trHeight w:val="1299"/>
        </w:trPr>
        <w:tc>
          <w:tcPr>
            <w:tcW w:w="2268" w:type="dxa"/>
            <w:shd w:val="clear" w:color="auto" w:fill="FFFFFF" w:themeFill="background1"/>
            <w:tcMar>
              <w:top w:w="0" w:type="dxa"/>
              <w:left w:w="108" w:type="dxa"/>
              <w:bottom w:w="0" w:type="dxa"/>
              <w:right w:w="108" w:type="dxa"/>
            </w:tcMar>
            <w:vAlign w:val="center"/>
          </w:tcPr>
          <w:p w14:paraId="308CBC43" w14:textId="4D1F17EC" w:rsidR="006A793C" w:rsidRPr="00AC2448" w:rsidRDefault="004A43B3" w:rsidP="00BC575F">
            <w:pPr>
              <w:jc w:val="left"/>
              <w:rPr>
                <w:rFonts w:eastAsia="Calibri" w:cs="Arial"/>
                <w:b/>
                <w:bCs/>
              </w:rPr>
            </w:pPr>
            <w:r>
              <w:rPr>
                <w:rFonts w:eastAsia="Calibri" w:cs="Arial"/>
                <w:b/>
                <w:bCs/>
              </w:rPr>
              <w:t>Qualité de l’offre</w:t>
            </w:r>
          </w:p>
        </w:tc>
        <w:tc>
          <w:tcPr>
            <w:tcW w:w="5245" w:type="dxa"/>
            <w:shd w:val="clear" w:color="auto" w:fill="FFFFFF" w:themeFill="background1"/>
            <w:tcMar>
              <w:top w:w="0" w:type="dxa"/>
              <w:left w:w="108" w:type="dxa"/>
              <w:bottom w:w="0" w:type="dxa"/>
              <w:right w:w="108" w:type="dxa"/>
            </w:tcMar>
            <w:vAlign w:val="center"/>
          </w:tcPr>
          <w:p w14:paraId="22772297" w14:textId="378E117F" w:rsidR="00BB59FC" w:rsidRDefault="004A43B3" w:rsidP="004A43B3">
            <w:pPr>
              <w:jc w:val="left"/>
              <w:rPr>
                <w:rFonts w:eastAsia="Calibri" w:cs="Arial"/>
                <w:b/>
                <w:bCs/>
              </w:rPr>
            </w:pPr>
            <w:r w:rsidRPr="004A43B3">
              <w:rPr>
                <w:rFonts w:eastAsia="Calibri" w:cs="Arial"/>
                <w:b/>
                <w:bCs/>
              </w:rPr>
              <w:t>-</w:t>
            </w:r>
            <w:r>
              <w:rPr>
                <w:rFonts w:eastAsia="Calibri" w:cs="Arial"/>
                <w:b/>
                <w:bCs/>
              </w:rPr>
              <w:t xml:space="preserve"> </w:t>
            </w:r>
            <w:r w:rsidRPr="004A43B3">
              <w:rPr>
                <w:rFonts w:eastAsia="Calibri" w:cs="Arial"/>
              </w:rPr>
              <w:t>Equipe</w:t>
            </w:r>
            <w:r w:rsidR="00D3113B">
              <w:rPr>
                <w:rFonts w:eastAsia="Calibri" w:cs="Arial"/>
              </w:rPr>
              <w:t>/personne</w:t>
            </w:r>
            <w:r w:rsidRPr="004A43B3">
              <w:rPr>
                <w:rFonts w:eastAsia="Calibri" w:cs="Arial"/>
              </w:rPr>
              <w:t xml:space="preserve"> proposée pour réaliser les prestations</w:t>
            </w:r>
            <w:r w:rsidR="00623AD3">
              <w:rPr>
                <w:rFonts w:eastAsia="Calibri" w:cs="Arial"/>
              </w:rPr>
              <w:t> : compétence et expérience en droit des assurances et droit de la commande publique</w:t>
            </w:r>
            <w:r w:rsidR="00D3113B">
              <w:rPr>
                <w:rFonts w:eastAsia="Calibri" w:cs="Arial"/>
              </w:rPr>
              <w:t xml:space="preserve"> (40%)</w:t>
            </w:r>
          </w:p>
          <w:p w14:paraId="46C77687" w14:textId="3A4A1B6D" w:rsidR="004A43B3" w:rsidRDefault="004A43B3" w:rsidP="004A43B3">
            <w:pPr>
              <w:jc w:val="left"/>
              <w:rPr>
                <w:rFonts w:eastAsia="Calibri" w:cs="Arial"/>
              </w:rPr>
            </w:pPr>
            <w:r>
              <w:rPr>
                <w:rFonts w:eastAsia="Calibri" w:cs="Arial"/>
              </w:rPr>
              <w:t>- Compréhension du besoin exprimé par l’ANRU</w:t>
            </w:r>
            <w:r w:rsidR="00D3113B">
              <w:rPr>
                <w:rFonts w:eastAsia="Calibri" w:cs="Arial"/>
              </w:rPr>
              <w:t xml:space="preserve"> (10 %)</w:t>
            </w:r>
          </w:p>
          <w:p w14:paraId="4E910B6E" w14:textId="7F7EC9DA" w:rsidR="004A43B3" w:rsidRPr="004A43B3" w:rsidRDefault="004A43B3" w:rsidP="004A43B3">
            <w:pPr>
              <w:jc w:val="left"/>
              <w:rPr>
                <w:rFonts w:eastAsia="Calibri" w:cs="Arial"/>
              </w:rPr>
            </w:pPr>
            <w:r>
              <w:rPr>
                <w:rFonts w:eastAsia="Calibri" w:cs="Arial"/>
              </w:rPr>
              <w:t>- Méthodologie proposée</w:t>
            </w:r>
            <w:r w:rsidR="00D3113B">
              <w:rPr>
                <w:rFonts w:eastAsia="Calibri" w:cs="Arial"/>
              </w:rPr>
              <w:t xml:space="preserve"> (10 %)</w:t>
            </w:r>
          </w:p>
        </w:tc>
        <w:tc>
          <w:tcPr>
            <w:tcW w:w="1559" w:type="dxa"/>
            <w:shd w:val="clear" w:color="auto" w:fill="FFFFFF" w:themeFill="background1"/>
            <w:tcMar>
              <w:top w:w="0" w:type="dxa"/>
              <w:left w:w="108" w:type="dxa"/>
              <w:bottom w:w="0" w:type="dxa"/>
              <w:right w:w="108" w:type="dxa"/>
            </w:tcMar>
            <w:vAlign w:val="center"/>
          </w:tcPr>
          <w:p w14:paraId="1561AC16" w14:textId="45DC0A27" w:rsidR="006A793C" w:rsidRPr="00AC2448" w:rsidRDefault="004A43B3" w:rsidP="0099185C">
            <w:pPr>
              <w:jc w:val="center"/>
              <w:rPr>
                <w:rFonts w:eastAsia="Calibri" w:cs="Arial"/>
                <w:b/>
                <w:bCs/>
                <w:sz w:val="24"/>
                <w:szCs w:val="24"/>
              </w:rPr>
            </w:pPr>
            <w:r>
              <w:rPr>
                <w:rFonts w:eastAsia="Calibri" w:cs="Arial"/>
                <w:b/>
                <w:bCs/>
                <w:sz w:val="24"/>
                <w:szCs w:val="24"/>
              </w:rPr>
              <w:t>60</w:t>
            </w:r>
            <w:r w:rsidR="00E84BD8">
              <w:rPr>
                <w:rFonts w:eastAsia="Calibri" w:cs="Arial"/>
                <w:b/>
                <w:bCs/>
                <w:sz w:val="24"/>
                <w:szCs w:val="24"/>
              </w:rPr>
              <w:t xml:space="preserve"> %</w:t>
            </w:r>
          </w:p>
        </w:tc>
      </w:tr>
      <w:tr w:rsidR="00F95B92" w:rsidRPr="00E506DC" w14:paraId="0A0FD6E5" w14:textId="77777777" w:rsidTr="004A43B3">
        <w:trPr>
          <w:trHeight w:val="221"/>
        </w:trPr>
        <w:tc>
          <w:tcPr>
            <w:tcW w:w="2268" w:type="dxa"/>
            <w:shd w:val="clear" w:color="auto" w:fill="FFFFFF" w:themeFill="background1"/>
            <w:tcMar>
              <w:top w:w="0" w:type="dxa"/>
              <w:left w:w="108" w:type="dxa"/>
              <w:bottom w:w="0" w:type="dxa"/>
              <w:right w:w="108" w:type="dxa"/>
            </w:tcMar>
            <w:vAlign w:val="center"/>
          </w:tcPr>
          <w:p w14:paraId="0D39CAE4" w14:textId="7D085C9F" w:rsidR="00F95B92" w:rsidRPr="00AC2448" w:rsidRDefault="00F95B92" w:rsidP="00BC575F">
            <w:pPr>
              <w:jc w:val="left"/>
              <w:rPr>
                <w:rFonts w:cs="Arial"/>
                <w:b/>
                <w:bCs/>
              </w:rPr>
            </w:pPr>
            <w:r w:rsidRPr="00AC2448">
              <w:rPr>
                <w:rFonts w:cs="Arial"/>
                <w:b/>
                <w:bCs/>
              </w:rPr>
              <w:t>Prix</w:t>
            </w:r>
          </w:p>
        </w:tc>
        <w:tc>
          <w:tcPr>
            <w:tcW w:w="5245" w:type="dxa"/>
            <w:shd w:val="clear" w:color="auto" w:fill="FFFFFF" w:themeFill="background1"/>
            <w:vAlign w:val="center"/>
          </w:tcPr>
          <w:p w14:paraId="7D293D14" w14:textId="42F2BB6C" w:rsidR="00F95B92" w:rsidRPr="00AC2448" w:rsidRDefault="00E84BD8" w:rsidP="00BC575F">
            <w:pPr>
              <w:jc w:val="left"/>
              <w:rPr>
                <w:rFonts w:eastAsia="Calibri" w:cs="Arial"/>
              </w:rPr>
            </w:pPr>
            <w:r>
              <w:rPr>
                <w:rFonts w:eastAsia="Calibri" w:cs="Arial"/>
              </w:rPr>
              <w:t xml:space="preserve">Au vu du montant forfaitaire </w:t>
            </w:r>
            <w:r w:rsidR="004A43B3">
              <w:rPr>
                <w:rFonts w:eastAsia="Calibri" w:cs="Arial"/>
              </w:rPr>
              <w:t>proposé</w:t>
            </w:r>
          </w:p>
        </w:tc>
        <w:tc>
          <w:tcPr>
            <w:tcW w:w="1559" w:type="dxa"/>
            <w:shd w:val="clear" w:color="auto" w:fill="FFFFFF" w:themeFill="background1"/>
            <w:tcMar>
              <w:top w:w="0" w:type="dxa"/>
              <w:left w:w="108" w:type="dxa"/>
              <w:bottom w:w="0" w:type="dxa"/>
              <w:right w:w="108" w:type="dxa"/>
            </w:tcMar>
            <w:vAlign w:val="center"/>
          </w:tcPr>
          <w:p w14:paraId="32192792" w14:textId="70A93639" w:rsidR="00F95B92" w:rsidRPr="00AC2448" w:rsidRDefault="004A43B3" w:rsidP="0099185C">
            <w:pPr>
              <w:jc w:val="center"/>
              <w:rPr>
                <w:rFonts w:cs="Arial"/>
                <w:b/>
                <w:bCs/>
                <w:sz w:val="24"/>
                <w:szCs w:val="24"/>
              </w:rPr>
            </w:pPr>
            <w:r>
              <w:rPr>
                <w:rFonts w:cs="Arial"/>
                <w:b/>
                <w:bCs/>
                <w:sz w:val="24"/>
                <w:szCs w:val="24"/>
              </w:rPr>
              <w:t>40</w:t>
            </w:r>
            <w:r w:rsidR="00F95B92">
              <w:rPr>
                <w:rFonts w:cs="Arial"/>
                <w:b/>
                <w:bCs/>
                <w:sz w:val="24"/>
                <w:szCs w:val="24"/>
              </w:rPr>
              <w:t xml:space="preserve"> %</w:t>
            </w:r>
          </w:p>
        </w:tc>
      </w:tr>
    </w:tbl>
    <w:p w14:paraId="38E857AB" w14:textId="77777777" w:rsidR="001D6EFF" w:rsidRPr="00E506DC" w:rsidRDefault="001D6EFF" w:rsidP="00232F8E">
      <w:pPr>
        <w:pStyle w:val="Paragraphedeliste"/>
        <w:tabs>
          <w:tab w:val="left" w:pos="360"/>
        </w:tabs>
        <w:overflowPunct/>
        <w:autoSpaceDE/>
        <w:autoSpaceDN/>
        <w:adjustRightInd/>
        <w:ind w:left="426" w:right="-44"/>
        <w:contextualSpacing/>
        <w:textAlignment w:val="auto"/>
        <w:rPr>
          <w:rFonts w:cs="Arial"/>
        </w:rPr>
      </w:pPr>
    </w:p>
    <w:p w14:paraId="4478176F" w14:textId="77777777" w:rsidR="00F4020D" w:rsidRPr="00E506DC" w:rsidRDefault="00F4020D" w:rsidP="00232F8E">
      <w:pPr>
        <w:pStyle w:val="Paragraphedeliste"/>
        <w:tabs>
          <w:tab w:val="left" w:pos="360"/>
        </w:tabs>
        <w:overflowPunct/>
        <w:autoSpaceDE/>
        <w:autoSpaceDN/>
        <w:adjustRightInd/>
        <w:ind w:left="426" w:right="-44"/>
        <w:contextualSpacing/>
        <w:textAlignment w:val="auto"/>
        <w:rPr>
          <w:rFonts w:cs="Arial"/>
        </w:rPr>
      </w:pPr>
    </w:p>
    <w:p w14:paraId="387E2B19" w14:textId="679AEA9A" w:rsidR="004E206F" w:rsidRDefault="004E206F" w:rsidP="004E206F">
      <w:pPr>
        <w:pStyle w:val="Corpsdetexte2"/>
        <w:rPr>
          <w:rFonts w:cs="Arial"/>
          <w:b w:val="0"/>
          <w:bCs/>
          <w:color w:val="auto"/>
          <w:sz w:val="20"/>
        </w:rPr>
      </w:pPr>
      <w:r w:rsidRPr="00E506DC">
        <w:rPr>
          <w:rFonts w:cs="Arial"/>
          <w:b w:val="0"/>
          <w:bCs/>
          <w:color w:val="auto"/>
          <w:sz w:val="20"/>
        </w:rPr>
        <w:t xml:space="preserve">Le prix sera noté sur </w:t>
      </w:r>
      <w:r w:rsidR="005A605A">
        <w:rPr>
          <w:rFonts w:cs="Arial"/>
          <w:b w:val="0"/>
          <w:bCs/>
          <w:color w:val="auto"/>
          <w:sz w:val="20"/>
        </w:rPr>
        <w:t>5</w:t>
      </w:r>
      <w:r w:rsidRPr="00E506DC">
        <w:rPr>
          <w:rFonts w:cs="Arial"/>
          <w:b w:val="0"/>
          <w:bCs/>
          <w:color w:val="auto"/>
          <w:sz w:val="20"/>
        </w:rPr>
        <w:t xml:space="preserve"> de la manière suivante :</w:t>
      </w:r>
      <w:r w:rsidR="00C8165B">
        <w:rPr>
          <w:rFonts w:cs="Arial"/>
          <w:b w:val="0"/>
          <w:bCs/>
          <w:color w:val="auto"/>
          <w:sz w:val="20"/>
        </w:rPr>
        <w:t xml:space="preserve"> </w:t>
      </w:r>
      <w:r w:rsidRPr="00E506DC">
        <w:rPr>
          <w:rFonts w:cs="Arial"/>
          <w:b w:val="0"/>
          <w:bCs/>
          <w:color w:val="auto"/>
          <w:sz w:val="20"/>
        </w:rPr>
        <w:t>[Montant du candidat ayant présenté l’offre la moins élevée]</w:t>
      </w:r>
      <w:r w:rsidR="00C2475B" w:rsidRPr="00E506DC">
        <w:rPr>
          <w:rFonts w:cs="Arial"/>
          <w:b w:val="0"/>
          <w:bCs/>
          <w:color w:val="auto"/>
          <w:sz w:val="20"/>
        </w:rPr>
        <w:t xml:space="preserve"> </w:t>
      </w:r>
      <w:r w:rsidRPr="00E506DC">
        <w:rPr>
          <w:rFonts w:cs="Arial"/>
          <w:b w:val="0"/>
          <w:bCs/>
          <w:color w:val="auto"/>
          <w:sz w:val="20"/>
        </w:rPr>
        <w:t>/</w:t>
      </w:r>
      <w:r w:rsidR="00C2475B" w:rsidRPr="00E506DC">
        <w:rPr>
          <w:rFonts w:cs="Arial"/>
          <w:b w:val="0"/>
          <w:bCs/>
          <w:color w:val="auto"/>
          <w:sz w:val="20"/>
        </w:rPr>
        <w:t xml:space="preserve"> </w:t>
      </w:r>
      <w:r w:rsidRPr="00E506DC">
        <w:rPr>
          <w:rFonts w:cs="Arial"/>
          <w:b w:val="0"/>
          <w:bCs/>
          <w:color w:val="auto"/>
          <w:sz w:val="20"/>
        </w:rPr>
        <w:t>[</w:t>
      </w:r>
      <w:r w:rsidR="00C2475B" w:rsidRPr="00E506DC">
        <w:rPr>
          <w:rFonts w:cs="Arial"/>
          <w:b w:val="0"/>
          <w:bCs/>
          <w:color w:val="auto"/>
          <w:sz w:val="20"/>
        </w:rPr>
        <w:t>Montant</w:t>
      </w:r>
      <w:r w:rsidRPr="00E506DC">
        <w:rPr>
          <w:rFonts w:cs="Arial"/>
          <w:b w:val="0"/>
          <w:bCs/>
          <w:color w:val="auto"/>
          <w:sz w:val="20"/>
        </w:rPr>
        <w:t xml:space="preserve"> du candidat « X »] x </w:t>
      </w:r>
      <w:r w:rsidR="005A605A">
        <w:rPr>
          <w:rFonts w:cs="Arial"/>
          <w:b w:val="0"/>
          <w:bCs/>
          <w:color w:val="auto"/>
          <w:sz w:val="20"/>
        </w:rPr>
        <w:t>5</w:t>
      </w:r>
    </w:p>
    <w:p w14:paraId="51C69C2F" w14:textId="4B628A3F" w:rsidR="00C8165B" w:rsidRDefault="00C8165B" w:rsidP="004E206F">
      <w:pPr>
        <w:pStyle w:val="Corpsdetexte2"/>
        <w:rPr>
          <w:rFonts w:cs="Arial"/>
          <w:b w:val="0"/>
          <w:bCs/>
          <w:color w:val="auto"/>
          <w:sz w:val="20"/>
        </w:rPr>
      </w:pPr>
    </w:p>
    <w:p w14:paraId="1E5E5E31" w14:textId="35327331" w:rsidR="00C8165B" w:rsidRDefault="00C8165B" w:rsidP="004E206F">
      <w:pPr>
        <w:pStyle w:val="Corpsdetexte2"/>
        <w:rPr>
          <w:rFonts w:cs="Arial"/>
          <w:b w:val="0"/>
          <w:bCs/>
          <w:color w:val="auto"/>
          <w:sz w:val="20"/>
        </w:rPr>
      </w:pPr>
      <w:r>
        <w:rPr>
          <w:rFonts w:cs="Arial"/>
          <w:b w:val="0"/>
          <w:bCs/>
          <w:color w:val="auto"/>
          <w:sz w:val="20"/>
        </w:rPr>
        <w:t xml:space="preserve">Les autres critères seront notés selon un barème allant de 1 (offre peu satisfaisante) à </w:t>
      </w:r>
      <w:r w:rsidR="005A605A">
        <w:rPr>
          <w:rFonts w:cs="Arial"/>
          <w:b w:val="0"/>
          <w:bCs/>
          <w:color w:val="auto"/>
          <w:sz w:val="20"/>
        </w:rPr>
        <w:t>5</w:t>
      </w:r>
      <w:r>
        <w:rPr>
          <w:rFonts w:cs="Arial"/>
          <w:b w:val="0"/>
          <w:bCs/>
          <w:color w:val="auto"/>
          <w:sz w:val="20"/>
        </w:rPr>
        <w:t xml:space="preserve"> (offre excellente).</w:t>
      </w:r>
    </w:p>
    <w:p w14:paraId="5B39897B" w14:textId="7008F691" w:rsidR="00C8165B" w:rsidRDefault="00C8165B" w:rsidP="004E206F">
      <w:pPr>
        <w:pStyle w:val="Corpsdetexte2"/>
        <w:rPr>
          <w:rFonts w:cs="Arial"/>
          <w:b w:val="0"/>
          <w:bCs/>
          <w:color w:val="auto"/>
          <w:sz w:val="20"/>
        </w:rPr>
      </w:pPr>
    </w:p>
    <w:p w14:paraId="45772A9D" w14:textId="18134227" w:rsidR="00226DC6" w:rsidRDefault="00226DC6" w:rsidP="00226DC6">
      <w:pPr>
        <w:rPr>
          <w:rFonts w:cs="Arial"/>
        </w:rPr>
      </w:pPr>
      <w:r w:rsidRPr="00614528">
        <w:rPr>
          <w:rFonts w:cs="Arial"/>
        </w:rPr>
        <w:t xml:space="preserve">Les offres inappropriées et anormalement basses seront exclues de la consultation. Les offres irrégulières et inacceptables pourront être régularisées dans les conditions fixées </w:t>
      </w:r>
      <w:r w:rsidR="00F1367C">
        <w:rPr>
          <w:rFonts w:cs="Arial"/>
        </w:rPr>
        <w:t>à l’article R2152-1 du Code de la commande publique.</w:t>
      </w:r>
    </w:p>
    <w:p w14:paraId="5D19C250" w14:textId="40405EFD" w:rsidR="008167BB" w:rsidRPr="008167BB" w:rsidRDefault="008167BB" w:rsidP="008167BB">
      <w:pPr>
        <w:pStyle w:val="Paragraphedeliste"/>
        <w:overflowPunct/>
        <w:ind w:left="720"/>
        <w:textAlignment w:val="auto"/>
        <w:rPr>
          <w:b/>
          <w:color w:val="004494"/>
          <w:sz w:val="24"/>
          <w:szCs w:val="24"/>
        </w:rPr>
      </w:pPr>
    </w:p>
    <w:p w14:paraId="65419829" w14:textId="1A684C60" w:rsidR="008C7390" w:rsidRDefault="008C7390" w:rsidP="008167BB">
      <w:pPr>
        <w:pStyle w:val="Paragraphedeliste"/>
        <w:numPr>
          <w:ilvl w:val="0"/>
          <w:numId w:val="10"/>
        </w:numPr>
        <w:overflowPunct/>
        <w:ind w:hanging="436"/>
        <w:textAlignment w:val="auto"/>
        <w:rPr>
          <w:b/>
          <w:color w:val="004494"/>
          <w:sz w:val="24"/>
          <w:szCs w:val="24"/>
        </w:rPr>
      </w:pPr>
      <w:r>
        <w:rPr>
          <w:b/>
          <w:color w:val="004494"/>
          <w:sz w:val="24"/>
          <w:szCs w:val="24"/>
        </w:rPr>
        <w:t>Négociations</w:t>
      </w:r>
    </w:p>
    <w:p w14:paraId="2E46C0BD" w14:textId="77777777" w:rsidR="008C7390" w:rsidRDefault="008C7390" w:rsidP="008C7390">
      <w:pPr>
        <w:pStyle w:val="Paragraphedeliste"/>
        <w:overflowPunct/>
        <w:ind w:left="720"/>
        <w:textAlignment w:val="auto"/>
        <w:rPr>
          <w:b/>
          <w:color w:val="004494"/>
          <w:sz w:val="24"/>
          <w:szCs w:val="24"/>
        </w:rPr>
      </w:pPr>
    </w:p>
    <w:p w14:paraId="60D9EB40" w14:textId="2A7B8493" w:rsidR="008C7390" w:rsidRDefault="008C7390" w:rsidP="008C7390">
      <w:pPr>
        <w:rPr>
          <w:rFonts w:cs="Arial"/>
        </w:rPr>
      </w:pPr>
      <w:r w:rsidRPr="008C7390">
        <w:rPr>
          <w:rFonts w:cs="Arial"/>
        </w:rPr>
        <w:t>L’ANRU se réserve la possibilité de procéder à une phase de négociations.</w:t>
      </w:r>
      <w:r w:rsidR="00800ADD">
        <w:rPr>
          <w:rFonts w:cs="Arial"/>
        </w:rPr>
        <w:t xml:space="preserve"> Le cas échéant, la négociation se fera avec les trois personnes les mieux classées au terme de l’analyse des offres initiale</w:t>
      </w:r>
      <w:r w:rsidR="008436EB">
        <w:rPr>
          <w:rFonts w:cs="Arial"/>
        </w:rPr>
        <w:t>s</w:t>
      </w:r>
      <w:r w:rsidR="00800ADD">
        <w:rPr>
          <w:rFonts w:cs="Arial"/>
        </w:rPr>
        <w:t xml:space="preserve">. </w:t>
      </w:r>
      <w:r>
        <w:rPr>
          <w:rFonts w:cs="Arial"/>
        </w:rPr>
        <w:t xml:space="preserve"> </w:t>
      </w:r>
      <w:r w:rsidR="008278C0">
        <w:rPr>
          <w:rFonts w:cs="Arial"/>
        </w:rPr>
        <w:t>Cependant, le marché pourra être attribué sur la base des offres initiale</w:t>
      </w:r>
      <w:r w:rsidR="008436EB">
        <w:rPr>
          <w:rFonts w:cs="Arial"/>
        </w:rPr>
        <w:t>s</w:t>
      </w:r>
      <w:r w:rsidR="008278C0">
        <w:rPr>
          <w:rFonts w:cs="Arial"/>
        </w:rPr>
        <w:t xml:space="preserve"> sans que soit procédé à une phase de négociations.</w:t>
      </w:r>
    </w:p>
    <w:p w14:paraId="5F99B672" w14:textId="77777777" w:rsidR="00E84BD8" w:rsidRDefault="00E84BD8" w:rsidP="008C7390">
      <w:pPr>
        <w:rPr>
          <w:rFonts w:cs="Arial"/>
        </w:rPr>
      </w:pPr>
    </w:p>
    <w:p w14:paraId="3CB4F62A" w14:textId="05547F0E" w:rsidR="002E1188" w:rsidRDefault="002E1188" w:rsidP="008C7390">
      <w:pPr>
        <w:rPr>
          <w:rFonts w:cs="Arial"/>
        </w:rPr>
      </w:pPr>
    </w:p>
    <w:p w14:paraId="0088E748" w14:textId="4568EC64" w:rsidR="008167BB" w:rsidRPr="008167BB" w:rsidRDefault="008167BB" w:rsidP="008167BB">
      <w:pPr>
        <w:pStyle w:val="Paragraphedeliste"/>
        <w:numPr>
          <w:ilvl w:val="0"/>
          <w:numId w:val="10"/>
        </w:numPr>
        <w:overflowPunct/>
        <w:ind w:hanging="436"/>
        <w:textAlignment w:val="auto"/>
        <w:rPr>
          <w:b/>
          <w:color w:val="004494"/>
          <w:sz w:val="24"/>
          <w:szCs w:val="24"/>
        </w:rPr>
      </w:pPr>
      <w:r w:rsidRPr="008167BB">
        <w:rPr>
          <w:b/>
          <w:color w:val="004494"/>
          <w:sz w:val="24"/>
          <w:szCs w:val="24"/>
        </w:rPr>
        <w:t>Vérification des candidatures</w:t>
      </w:r>
    </w:p>
    <w:p w14:paraId="1664A6E1" w14:textId="0C96AA05" w:rsidR="008167BB" w:rsidRDefault="008167BB" w:rsidP="008167BB">
      <w:pPr>
        <w:rPr>
          <w:rFonts w:cs="Arial"/>
        </w:rPr>
      </w:pPr>
    </w:p>
    <w:p w14:paraId="7DA5DBE7" w14:textId="22E67F73" w:rsidR="007967A3" w:rsidRDefault="007967A3" w:rsidP="007967A3">
      <w:pPr>
        <w:rPr>
          <w:rFonts w:cs="Arial"/>
        </w:rPr>
      </w:pPr>
      <w:r w:rsidRPr="007967A3">
        <w:rPr>
          <w:rFonts w:cs="Arial"/>
        </w:rPr>
        <w:t>A la suite de l’examen des offres, l’</w:t>
      </w:r>
      <w:r>
        <w:rPr>
          <w:rFonts w:cs="Arial"/>
        </w:rPr>
        <w:t>ANRU</w:t>
      </w:r>
      <w:r w:rsidRPr="007967A3">
        <w:rPr>
          <w:rFonts w:cs="Arial"/>
        </w:rPr>
        <w:t xml:space="preserve"> analysera la candidature de la société à laquelle il est envisagé d’attribuer l</w:t>
      </w:r>
      <w:r w:rsidR="008278C0">
        <w:rPr>
          <w:rFonts w:cs="Arial"/>
        </w:rPr>
        <w:t>e marché.</w:t>
      </w:r>
      <w:r w:rsidRPr="007967A3">
        <w:rPr>
          <w:rFonts w:cs="Arial"/>
        </w:rPr>
        <w:t xml:space="preserve"> </w:t>
      </w:r>
    </w:p>
    <w:p w14:paraId="5A332F05" w14:textId="77777777" w:rsidR="007967A3" w:rsidRPr="007967A3" w:rsidRDefault="007967A3" w:rsidP="007967A3">
      <w:pPr>
        <w:rPr>
          <w:rFonts w:cs="Arial"/>
        </w:rPr>
      </w:pPr>
    </w:p>
    <w:p w14:paraId="0B6435E9" w14:textId="77777777" w:rsidR="002E1188" w:rsidRDefault="002E1188" w:rsidP="002E1188">
      <w:pPr>
        <w:rPr>
          <w:rFonts w:cs="Arial"/>
        </w:rPr>
      </w:pPr>
      <w:r w:rsidRPr="00CE3A09">
        <w:rPr>
          <w:rFonts w:cs="Arial"/>
        </w:rPr>
        <w:t>Le candidat auquel il est envisagé d'attribuer l</w:t>
      </w:r>
      <w:r>
        <w:rPr>
          <w:rFonts w:cs="Arial"/>
        </w:rPr>
        <w:t xml:space="preserve">’accord-cadre </w:t>
      </w:r>
      <w:r w:rsidRPr="00CE3A09">
        <w:rPr>
          <w:rFonts w:cs="Arial"/>
        </w:rPr>
        <w:t>produira</w:t>
      </w:r>
      <w:r>
        <w:rPr>
          <w:rFonts w:cs="Arial"/>
        </w:rPr>
        <w:t xml:space="preserve"> les documents attestant qu’il n’est pas dans l’interdiction de soumissionner au vu des dispositions afférentes du Code de la commande publique.</w:t>
      </w:r>
    </w:p>
    <w:p w14:paraId="49C450FF" w14:textId="77777777" w:rsidR="002E1188" w:rsidRDefault="002E1188" w:rsidP="007967A3">
      <w:pPr>
        <w:rPr>
          <w:rFonts w:cs="Arial"/>
        </w:rPr>
      </w:pPr>
    </w:p>
    <w:p w14:paraId="0B2456BD" w14:textId="1EFC7A1C" w:rsidR="007967A3" w:rsidRDefault="007967A3" w:rsidP="007967A3">
      <w:pPr>
        <w:rPr>
          <w:rFonts w:cs="Arial"/>
        </w:rPr>
      </w:pPr>
      <w:r w:rsidRPr="007967A3">
        <w:rPr>
          <w:rFonts w:cs="Arial"/>
        </w:rPr>
        <w:t>Si le candidat se trouve dans un des cas d’interdiction de soumissionner à un marché public, ne produit pas les pièces exigées, et/ou ne dispose pas des capacités professionnelles, techniques ou financières suffisantes pour exécuter les prestations concernées, sa candidature sera déclarée irrecevable et le candidat sera éliminé.</w:t>
      </w:r>
    </w:p>
    <w:p w14:paraId="236CDB26" w14:textId="77777777" w:rsidR="007967A3" w:rsidRPr="007967A3" w:rsidRDefault="007967A3" w:rsidP="007967A3">
      <w:pPr>
        <w:rPr>
          <w:rFonts w:cs="Arial"/>
        </w:rPr>
      </w:pPr>
    </w:p>
    <w:p w14:paraId="0B0536A5" w14:textId="0696080E" w:rsidR="008167BB" w:rsidRDefault="007967A3" w:rsidP="007967A3">
      <w:pPr>
        <w:rPr>
          <w:rFonts w:cs="Arial"/>
        </w:rPr>
      </w:pPr>
      <w:r w:rsidRPr="007967A3">
        <w:rPr>
          <w:rFonts w:cs="Arial"/>
        </w:rPr>
        <w:t>Dans ce cas, la candidature du candidat dont l’offre a été classée immédiatement après la sienne sera examinée. Le candidat concerné sera sollicité pour produire les documents nécessaires. Cette procédure sera reproduite autant de fois qu’il subsiste d’offres.</w:t>
      </w:r>
    </w:p>
    <w:p w14:paraId="44BFA846" w14:textId="07A75F33" w:rsidR="00A24317" w:rsidRDefault="00A24317" w:rsidP="007967A3">
      <w:pPr>
        <w:rPr>
          <w:rFonts w:cs="Arial"/>
        </w:rPr>
      </w:pPr>
    </w:p>
    <w:p w14:paraId="3AFBCBDE" w14:textId="02ED4A6B" w:rsidR="00A24317" w:rsidRPr="00A24317" w:rsidRDefault="00A24317" w:rsidP="00A24317">
      <w:pPr>
        <w:pStyle w:val="Paragraphedeliste"/>
        <w:numPr>
          <w:ilvl w:val="0"/>
          <w:numId w:val="10"/>
        </w:numPr>
        <w:overflowPunct/>
        <w:ind w:hanging="436"/>
        <w:textAlignment w:val="auto"/>
        <w:rPr>
          <w:b/>
          <w:color w:val="004494"/>
          <w:sz w:val="24"/>
          <w:szCs w:val="24"/>
        </w:rPr>
      </w:pPr>
      <w:r w:rsidRPr="00A24317">
        <w:rPr>
          <w:b/>
          <w:color w:val="004494"/>
          <w:sz w:val="24"/>
          <w:szCs w:val="24"/>
        </w:rPr>
        <w:t>Délais et voies de recours</w:t>
      </w:r>
    </w:p>
    <w:p w14:paraId="644CAA55" w14:textId="6C2F7950" w:rsidR="00A24317" w:rsidRDefault="00A24317" w:rsidP="007967A3">
      <w:pPr>
        <w:rPr>
          <w:rFonts w:cs="Arial"/>
        </w:rPr>
      </w:pPr>
    </w:p>
    <w:p w14:paraId="69E17413" w14:textId="77777777" w:rsidR="00A24317" w:rsidRDefault="00A24317" w:rsidP="00A24317">
      <w:r>
        <w:t xml:space="preserve">Les recours peuvent être introduit auprès du Tribunal administratif de Paris, 7, rue de Jouy 75004 Paris. </w:t>
      </w:r>
    </w:p>
    <w:p w14:paraId="744DDB42" w14:textId="77777777" w:rsidR="00A24317" w:rsidRPr="008167BB" w:rsidRDefault="00A24317" w:rsidP="007967A3">
      <w:pPr>
        <w:rPr>
          <w:rFonts w:cs="Arial"/>
        </w:rPr>
      </w:pPr>
    </w:p>
    <w:p w14:paraId="7A4EA4A8" w14:textId="77777777" w:rsidR="00C2475B" w:rsidRPr="00E506DC" w:rsidRDefault="00C2475B" w:rsidP="004E206F">
      <w:pPr>
        <w:pStyle w:val="Corpsdetexte2"/>
        <w:rPr>
          <w:rFonts w:cs="Arial"/>
          <w:b w:val="0"/>
          <w:bCs/>
          <w:color w:val="auto"/>
          <w:sz w:val="20"/>
        </w:rPr>
      </w:pPr>
    </w:p>
    <w:p w14:paraId="5C3AFFC6" w14:textId="1E434B08" w:rsidR="00CE3A09" w:rsidRDefault="00CE3A09" w:rsidP="00CE3A09">
      <w:pPr>
        <w:rPr>
          <w:rFonts w:cs="Arial"/>
        </w:rPr>
      </w:pPr>
    </w:p>
    <w:p w14:paraId="4ACE9D77" w14:textId="77777777" w:rsidR="00C84DC9" w:rsidRPr="00C84DC9" w:rsidRDefault="00C84DC9" w:rsidP="005F470D">
      <w:pPr>
        <w:rPr>
          <w:rFonts w:cs="Arial"/>
          <w:sz w:val="22"/>
          <w:szCs w:val="22"/>
        </w:rPr>
      </w:pPr>
    </w:p>
    <w:sectPr w:rsidR="00C84DC9" w:rsidRPr="00C84DC9" w:rsidSect="00FF12BB">
      <w:headerReference w:type="default" r:id="rId13"/>
      <w:footerReference w:type="even" r:id="rId14"/>
      <w:footerReference w:type="default" r:id="rId15"/>
      <w:footerReference w:type="first" r:id="rId16"/>
      <w:pgSz w:w="11906" w:h="16838" w:code="9"/>
      <w:pgMar w:top="1417" w:right="1417" w:bottom="1417" w:left="1417" w:header="567" w:footer="1134"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9B61A6" w14:textId="77777777" w:rsidR="002F7862" w:rsidRDefault="002F7862">
      <w:r>
        <w:separator/>
      </w:r>
    </w:p>
  </w:endnote>
  <w:endnote w:type="continuationSeparator" w:id="0">
    <w:p w14:paraId="17F446AC" w14:textId="77777777" w:rsidR="002F7862" w:rsidRDefault="002F7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 Garde">
    <w:altName w:val="Century Goth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4E946C" w14:textId="77777777" w:rsidR="004B5965" w:rsidRDefault="004B596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0A0D3AB" w14:textId="77777777" w:rsidR="004B5965" w:rsidRDefault="004B596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DDFE2B" w14:textId="3E1F3CFA" w:rsidR="004B5965" w:rsidRDefault="004B5965">
    <w:pPr>
      <w:pStyle w:val="Pieddepage"/>
      <w:framePr w:w="797" w:wrap="around" w:vAnchor="text" w:hAnchor="page" w:x="10448" w:y="-200"/>
      <w:ind w:right="-640"/>
      <w:rPr>
        <w:rStyle w:val="Numrodepage"/>
        <w:color w:val="DE6422"/>
      </w:rPr>
    </w:pPr>
    <w:r>
      <w:rPr>
        <w:rStyle w:val="Numrodepage"/>
        <w:color w:val="DE6422"/>
      </w:rPr>
      <w:t xml:space="preserve">Page </w:t>
    </w:r>
    <w:r>
      <w:rPr>
        <w:rStyle w:val="Numrodepage"/>
        <w:color w:val="DE6422"/>
      </w:rPr>
      <w:fldChar w:fldCharType="begin"/>
    </w:r>
    <w:r>
      <w:rPr>
        <w:rStyle w:val="Numrodepage"/>
        <w:color w:val="DE6422"/>
      </w:rPr>
      <w:instrText xml:space="preserve">PAGE  </w:instrText>
    </w:r>
    <w:r>
      <w:rPr>
        <w:rStyle w:val="Numrodepage"/>
        <w:color w:val="DE6422"/>
      </w:rPr>
      <w:fldChar w:fldCharType="separate"/>
    </w:r>
    <w:r w:rsidR="00371A5E">
      <w:rPr>
        <w:rStyle w:val="Numrodepage"/>
        <w:noProof/>
        <w:color w:val="DE6422"/>
      </w:rPr>
      <w:t>7</w:t>
    </w:r>
    <w:r>
      <w:rPr>
        <w:rStyle w:val="Numrodepage"/>
        <w:color w:val="DE6422"/>
      </w:rPr>
      <w:fldChar w:fldCharType="end"/>
    </w:r>
  </w:p>
  <w:p w14:paraId="266CA6D1" w14:textId="77777777" w:rsidR="004B5965" w:rsidRDefault="006F33E5">
    <w:pPr>
      <w:pStyle w:val="Pieddepage"/>
      <w:ind w:right="360"/>
      <w:rPr>
        <w:sz w:val="22"/>
      </w:rPr>
    </w:pPr>
    <w:r>
      <w:rPr>
        <w:noProof/>
        <w:sz w:val="22"/>
      </w:rPr>
      <mc:AlternateContent>
        <mc:Choice Requires="wps">
          <w:drawing>
            <wp:anchor distT="0" distB="0" distL="114300" distR="114300" simplePos="0" relativeHeight="251657216" behindDoc="0" locked="0" layoutInCell="1" allowOverlap="1" wp14:anchorId="3556945E" wp14:editId="55869DBC">
              <wp:simplePos x="0" y="0"/>
              <wp:positionH relativeFrom="column">
                <wp:posOffset>1828800</wp:posOffset>
              </wp:positionH>
              <wp:positionV relativeFrom="paragraph">
                <wp:posOffset>149860</wp:posOffset>
              </wp:positionV>
              <wp:extent cx="4679950" cy="90170"/>
              <wp:effectExtent l="6985" t="7620" r="8890" b="698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0" cy="90170"/>
                      </a:xfrm>
                      <a:prstGeom prst="rect">
                        <a:avLst/>
                      </a:prstGeom>
                      <a:solidFill>
                        <a:srgbClr val="004286"/>
                      </a:solidFill>
                      <a:ln w="6350">
                        <a:solidFill>
                          <a:srgbClr val="00428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5275A3" id="Rectangle 4" o:spid="_x0000_s1026" style="position:absolute;margin-left:2in;margin-top:11.8pt;width:368.5pt;height: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" fillcolor="#004286" strokecolor="#004286" strokeweight=".5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E4C35D" w14:textId="77777777" w:rsidR="004B5965" w:rsidRDefault="006F33E5">
    <w:pPr>
      <w:pStyle w:val="Pieddepage"/>
    </w:pPr>
    <w:r>
      <w:rPr>
        <w:noProof/>
      </w:rPr>
      <mc:AlternateContent>
        <mc:Choice Requires="wps">
          <w:drawing>
            <wp:anchor distT="0" distB="0" distL="114300" distR="114300" simplePos="0" relativeHeight="251658240" behindDoc="0" locked="0" layoutInCell="1" allowOverlap="1" wp14:anchorId="285E08FE" wp14:editId="3A8BCDFE">
              <wp:simplePos x="0" y="0"/>
              <wp:positionH relativeFrom="column">
                <wp:posOffset>1828800</wp:posOffset>
              </wp:positionH>
              <wp:positionV relativeFrom="paragraph">
                <wp:posOffset>135255</wp:posOffset>
              </wp:positionV>
              <wp:extent cx="4679950" cy="90170"/>
              <wp:effectExtent l="6985" t="7620" r="8890" b="698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0" cy="90170"/>
                      </a:xfrm>
                      <a:prstGeom prst="rect">
                        <a:avLst/>
                      </a:prstGeom>
                      <a:solidFill>
                        <a:srgbClr val="004286"/>
                      </a:solidFill>
                      <a:ln w="6350">
                        <a:solidFill>
                          <a:srgbClr val="00428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20D015" id="Rectangle 5" o:spid="_x0000_s1026" style="position:absolute;margin-left:2in;margin-top:10.65pt;width:368.5pt;height: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" fillcolor="#004286" strokecolor="#004286"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D1C306" w14:textId="77777777" w:rsidR="002F7862" w:rsidRDefault="002F7862">
      <w:r>
        <w:separator/>
      </w:r>
    </w:p>
  </w:footnote>
  <w:footnote w:type="continuationSeparator" w:id="0">
    <w:p w14:paraId="5CBDB6FB" w14:textId="77777777" w:rsidR="002F7862" w:rsidRDefault="002F7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9E867" w14:textId="77777777" w:rsidR="004B5965" w:rsidRDefault="006F33E5">
    <w:pPr>
      <w:pStyle w:val="En-tte"/>
    </w:pPr>
    <w:r>
      <w:rPr>
        <w:noProof/>
        <w:sz w:val="24"/>
      </w:rPr>
      <w:drawing>
        <wp:inline distT="0" distB="0" distL="0" distR="0" wp14:anchorId="18BDC396" wp14:editId="4305172B">
          <wp:extent cx="1590675" cy="828675"/>
          <wp:effectExtent l="0" t="0" r="0" b="0"/>
          <wp:docPr id="3" name="Image 3" descr="An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r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0675" cy="828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C37499"/>
    <w:multiLevelType w:val="hybridMultilevel"/>
    <w:tmpl w:val="AD564D62"/>
    <w:lvl w:ilvl="0" w:tplc="1C1EF0F0">
      <w:numFmt w:val="bullet"/>
      <w:lvlText w:val="-"/>
      <w:lvlJc w:val="left"/>
      <w:pPr>
        <w:tabs>
          <w:tab w:val="num" w:pos="1080"/>
        </w:tabs>
        <w:ind w:left="1080" w:hanging="360"/>
      </w:pPr>
      <w:rPr>
        <w:rFonts w:ascii="Calibri" w:eastAsia="Calibri" w:hAnsi="Calibri" w:cs="Times New Roman" w:hint="default"/>
        <w:color w:val="auto"/>
      </w:rPr>
    </w:lvl>
    <w:lvl w:ilvl="1" w:tplc="040C0003">
      <w:start w:val="1"/>
      <w:numFmt w:val="bullet"/>
      <w:lvlText w:val="o"/>
      <w:lvlJc w:val="left"/>
      <w:pPr>
        <w:tabs>
          <w:tab w:val="num" w:pos="1800"/>
        </w:tabs>
        <w:ind w:left="1800" w:hanging="360"/>
      </w:pPr>
      <w:rPr>
        <w:rFonts w:ascii="Courier New" w:hAnsi="Courier New" w:cs="Courier New" w:hint="default"/>
      </w:rPr>
    </w:lvl>
    <w:lvl w:ilvl="2" w:tplc="2D78BC40">
      <w:numFmt w:val="bullet"/>
      <w:lvlText w:val="-"/>
      <w:lvlJc w:val="left"/>
      <w:pPr>
        <w:ind w:left="2520" w:hanging="360"/>
      </w:pPr>
      <w:rPr>
        <w:rFonts w:ascii="Arial" w:eastAsia="Times New Roman" w:hAnsi="Arial" w:cs="Arial" w:hint="default"/>
      </w:rPr>
    </w:lvl>
    <w:lvl w:ilvl="3" w:tplc="040C000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69037C5"/>
    <w:multiLevelType w:val="multilevel"/>
    <w:tmpl w:val="67164D4C"/>
    <w:lvl w:ilvl="0">
      <w:start w:val="1"/>
      <w:numFmt w:val="decimal"/>
      <w:lvlText w:val="%1."/>
      <w:lvlJc w:val="left"/>
      <w:pPr>
        <w:ind w:left="720" w:hanging="360"/>
      </w:pPr>
      <w:rPr>
        <w:rFonts w:hint="default"/>
        <w:color w:val="2F5496" w:themeColor="accent5" w:themeShade="BF"/>
        <w:sz w:val="28"/>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6A31203"/>
    <w:multiLevelType w:val="hybridMultilevel"/>
    <w:tmpl w:val="60CE3C46"/>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C51C7E52">
      <w:start w:val="4"/>
      <w:numFmt w:val="bullet"/>
      <w:lvlText w:val="-"/>
      <w:lvlJc w:val="left"/>
      <w:pPr>
        <w:tabs>
          <w:tab w:val="num" w:pos="1440"/>
        </w:tabs>
        <w:ind w:left="1440" w:hanging="360"/>
      </w:pPr>
      <w:rPr>
        <w:rFonts w:ascii="Verdana" w:eastAsia="Times New Roman" w:hAnsi="Verdana"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136F05"/>
    <w:multiLevelType w:val="multilevel"/>
    <w:tmpl w:val="BF8E44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816B83"/>
    <w:multiLevelType w:val="multilevel"/>
    <w:tmpl w:val="8A1012B2"/>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82688B"/>
    <w:multiLevelType w:val="multilevel"/>
    <w:tmpl w:val="B7525F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FD38E4"/>
    <w:multiLevelType w:val="multilevel"/>
    <w:tmpl w:val="752A322C"/>
    <w:lvl w:ilvl="0">
      <w:start w:val="1"/>
      <w:numFmt w:val="upperRoman"/>
      <w:pStyle w:val="Titre2-consult"/>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1EB672CD"/>
    <w:multiLevelType w:val="hybridMultilevel"/>
    <w:tmpl w:val="F9EA1D3E"/>
    <w:lvl w:ilvl="0" w:tplc="0144EA86">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F46A2"/>
    <w:multiLevelType w:val="multilevel"/>
    <w:tmpl w:val="3CC4B81E"/>
    <w:lvl w:ilvl="0">
      <w:start w:val="1"/>
      <w:numFmt w:val="decimal"/>
      <w:lvlText w:val="%1."/>
      <w:lvlJc w:val="left"/>
      <w:pPr>
        <w:tabs>
          <w:tab w:val="num" w:pos="0"/>
        </w:tabs>
        <w:ind w:left="-360" w:firstLine="0"/>
      </w:pPr>
      <w:rPr>
        <w:rFonts w:ascii="Arial" w:hAnsi="Arial" w:hint="default"/>
        <w:b/>
        <w:i w:val="0"/>
        <w:color w:val="0000FF"/>
        <w:sz w:val="36"/>
      </w:rPr>
    </w:lvl>
    <w:lvl w:ilvl="1">
      <w:start w:val="1"/>
      <w:numFmt w:val="decimal"/>
      <w:pStyle w:val="Titre2"/>
      <w:lvlText w:val="2.%2."/>
      <w:lvlJc w:val="left"/>
      <w:pPr>
        <w:tabs>
          <w:tab w:val="num" w:pos="720"/>
        </w:tabs>
        <w:ind w:left="0" w:firstLine="0"/>
      </w:pPr>
      <w:rPr>
        <w:rFonts w:ascii="Arial" w:hAnsi="Arial" w:hint="default"/>
        <w:b/>
        <w:i w:val="0"/>
        <w:sz w:val="22"/>
      </w:rPr>
    </w:lvl>
    <w:lvl w:ilvl="2">
      <w:start w:val="1"/>
      <w:numFmt w:val="decimal"/>
      <w:lvlText w:val="%1.%2.%3."/>
      <w:lvlJc w:val="left"/>
      <w:pPr>
        <w:tabs>
          <w:tab w:val="num" w:pos="1080"/>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0" w15:restartNumberingAfterBreak="0">
    <w:nsid w:val="304759F7"/>
    <w:multiLevelType w:val="hybridMultilevel"/>
    <w:tmpl w:val="5608E9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E86A89"/>
    <w:multiLevelType w:val="hybridMultilevel"/>
    <w:tmpl w:val="1428893A"/>
    <w:lvl w:ilvl="0" w:tplc="FC2812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0F0F47"/>
    <w:multiLevelType w:val="hybridMultilevel"/>
    <w:tmpl w:val="A2E6C40A"/>
    <w:lvl w:ilvl="0" w:tplc="8F46E4D4">
      <w:start w:val="2"/>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647A1A"/>
    <w:multiLevelType w:val="multilevel"/>
    <w:tmpl w:val="E110A4C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3FFD00CB"/>
    <w:multiLevelType w:val="multilevel"/>
    <w:tmpl w:val="3670E8D6"/>
    <w:lvl w:ilvl="0">
      <w:start w:val="1"/>
      <w:numFmt w:val="decimal"/>
      <w:pStyle w:val="Titre1"/>
      <w:lvlText w:val="%1."/>
      <w:lvlJc w:val="left"/>
      <w:pPr>
        <w:tabs>
          <w:tab w:val="num" w:pos="360"/>
        </w:tabs>
        <w:ind w:left="0" w:firstLine="0"/>
      </w:pPr>
      <w:rPr>
        <w:rFonts w:ascii="Arial" w:hAnsi="Arial" w:hint="default"/>
        <w:b/>
        <w:i w:val="0"/>
        <w:color w:val="auto"/>
        <w:sz w:val="36"/>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420403F"/>
    <w:multiLevelType w:val="hybridMultilevel"/>
    <w:tmpl w:val="02BC362E"/>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8D1CEC"/>
    <w:multiLevelType w:val="multilevel"/>
    <w:tmpl w:val="83FC0398"/>
    <w:lvl w:ilvl="0">
      <w:start w:val="1"/>
      <w:numFmt w:val="upperRoman"/>
      <w:pStyle w:val="Titre1-Consult"/>
      <w:lvlText w:val="Article %1."/>
      <w:lvlJc w:val="left"/>
      <w:pPr>
        <w:tabs>
          <w:tab w:val="num" w:pos="1440"/>
        </w:tabs>
        <w:ind w:left="0" w:firstLine="0"/>
      </w:pPr>
      <w:rPr>
        <w:color w:val="FF0000"/>
      </w:r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4B5969DC"/>
    <w:multiLevelType w:val="hybridMultilevel"/>
    <w:tmpl w:val="F9FAB87A"/>
    <w:lvl w:ilvl="0" w:tplc="0144EA86">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144EA86">
      <w:numFmt w:val="bullet"/>
      <w:lvlText w:val="-"/>
      <w:lvlJc w:val="left"/>
      <w:pPr>
        <w:ind w:left="2160" w:hanging="360"/>
      </w:pPr>
      <w:rPr>
        <w:rFonts w:ascii="Calibri" w:eastAsia="Calibri" w:hAnsi="Calibri"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287E0F"/>
    <w:multiLevelType w:val="hybridMultilevel"/>
    <w:tmpl w:val="9D38DA9E"/>
    <w:lvl w:ilvl="0" w:tplc="C1A4366A">
      <w:start w:val="1"/>
      <w:numFmt w:val="bullet"/>
      <w:pStyle w:val="bulletsynthse"/>
      <w:lvlText w:val="¶"/>
      <w:lvlJc w:val="left"/>
      <w:pPr>
        <w:tabs>
          <w:tab w:val="num" w:pos="720"/>
        </w:tabs>
        <w:ind w:left="72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BF7340"/>
    <w:multiLevelType w:val="hybridMultilevel"/>
    <w:tmpl w:val="4574DCDA"/>
    <w:lvl w:ilvl="0" w:tplc="28D84CC6">
      <w:start w:val="2015"/>
      <w:numFmt w:val="bullet"/>
      <w:lvlText w:val="-"/>
      <w:lvlJc w:val="left"/>
      <w:pPr>
        <w:ind w:left="1068" w:hanging="360"/>
      </w:pPr>
      <w:rPr>
        <w:rFonts w:ascii="Arial" w:eastAsia="Times" w:hAnsi="Arial" w:cs="Arial" w:hint="default"/>
      </w:rPr>
    </w:lvl>
    <w:lvl w:ilvl="1" w:tplc="040C0003">
      <w:start w:val="1"/>
      <w:numFmt w:val="bullet"/>
      <w:lvlText w:val="o"/>
      <w:lvlJc w:val="left"/>
      <w:pPr>
        <w:ind w:left="1440" w:hanging="360"/>
      </w:pPr>
      <w:rPr>
        <w:rFonts w:ascii="Courier New" w:hAnsi="Courier New" w:cs="Courier New" w:hint="default"/>
      </w:rPr>
    </w:lvl>
    <w:lvl w:ilvl="2" w:tplc="B6DA6320">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F4250D6"/>
    <w:multiLevelType w:val="multilevel"/>
    <w:tmpl w:val="67164D4C"/>
    <w:lvl w:ilvl="0">
      <w:start w:val="1"/>
      <w:numFmt w:val="decimal"/>
      <w:lvlText w:val="%1."/>
      <w:lvlJc w:val="left"/>
      <w:pPr>
        <w:ind w:left="720" w:hanging="360"/>
      </w:pPr>
      <w:rPr>
        <w:rFonts w:hint="default"/>
        <w:color w:val="2F5496" w:themeColor="accent5" w:themeShade="BF"/>
        <w:sz w:val="28"/>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FC03156"/>
    <w:multiLevelType w:val="multilevel"/>
    <w:tmpl w:val="B8007C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14"/>
  </w:num>
  <w:num w:numId="3">
    <w:abstractNumId w:val="3"/>
  </w:num>
  <w:num w:numId="4">
    <w:abstractNumId w:val="15"/>
  </w:num>
  <w:num w:numId="5">
    <w:abstractNumId w:val="16"/>
  </w:num>
  <w:num w:numId="6">
    <w:abstractNumId w:val="7"/>
  </w:num>
  <w:num w:numId="7">
    <w:abstractNumId w:val="9"/>
  </w:num>
  <w:num w:numId="8">
    <w:abstractNumId w:val="1"/>
  </w:num>
  <w:num w:numId="9">
    <w:abstractNumId w:val="13"/>
  </w:num>
  <w:num w:numId="10">
    <w:abstractNumId w:val="2"/>
  </w:num>
  <w:num w:numId="11">
    <w:abstractNumId w:val="10"/>
  </w:num>
  <w:num w:numId="12">
    <w:abstractNumId w:val="5"/>
  </w:num>
  <w:num w:numId="13">
    <w:abstractNumId w:val="9"/>
  </w:num>
  <w:num w:numId="14">
    <w:abstractNumId w:val="9"/>
  </w:num>
  <w:num w:numId="15">
    <w:abstractNumId w:val="21"/>
  </w:num>
  <w:num w:numId="16">
    <w:abstractNumId w:val="4"/>
  </w:num>
  <w:num w:numId="17">
    <w:abstractNumId w:val="8"/>
  </w:num>
  <w:num w:numId="18">
    <w:abstractNumId w:val="17"/>
  </w:num>
  <w:num w:numId="19">
    <w:abstractNumId w:val="12"/>
  </w:num>
  <w:num w:numId="20">
    <w:abstractNumId w:val="20"/>
  </w:num>
  <w:num w:numId="21">
    <w:abstractNumId w:val="6"/>
  </w:num>
  <w:num w:numId="22">
    <w:abstractNumId w:val="9"/>
  </w:num>
  <w:num w:numId="23">
    <w:abstractNumId w:val="9"/>
  </w:num>
  <w:num w:numId="24">
    <w:abstractNumId w:val="14"/>
  </w:num>
  <w:num w:numId="25">
    <w:abstractNumId w:val="19"/>
  </w:num>
  <w:num w:numId="26">
    <w:abstractNumId w:val="11"/>
  </w:num>
  <w:num w:numId="27">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2529">
      <o:colormru v:ext="edit" colors="#de6422,#5b1868,#00428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46B"/>
    <w:rsid w:val="00003957"/>
    <w:rsid w:val="00010FCD"/>
    <w:rsid w:val="000135E6"/>
    <w:rsid w:val="00013AE5"/>
    <w:rsid w:val="0002553A"/>
    <w:rsid w:val="00027B49"/>
    <w:rsid w:val="00036173"/>
    <w:rsid w:val="00042B70"/>
    <w:rsid w:val="00044EAD"/>
    <w:rsid w:val="000529C8"/>
    <w:rsid w:val="00060771"/>
    <w:rsid w:val="00064085"/>
    <w:rsid w:val="0006720A"/>
    <w:rsid w:val="000676B2"/>
    <w:rsid w:val="00067856"/>
    <w:rsid w:val="00067EB9"/>
    <w:rsid w:val="00071E9D"/>
    <w:rsid w:val="00073B42"/>
    <w:rsid w:val="0008258F"/>
    <w:rsid w:val="000839FB"/>
    <w:rsid w:val="00084952"/>
    <w:rsid w:val="0009370E"/>
    <w:rsid w:val="00097EC4"/>
    <w:rsid w:val="000B2787"/>
    <w:rsid w:val="000B5F68"/>
    <w:rsid w:val="000C2CB4"/>
    <w:rsid w:val="000C3477"/>
    <w:rsid w:val="000C3E80"/>
    <w:rsid w:val="000D0BB4"/>
    <w:rsid w:val="000D1446"/>
    <w:rsid w:val="000D1C0E"/>
    <w:rsid w:val="000D5119"/>
    <w:rsid w:val="000D688F"/>
    <w:rsid w:val="000E38E8"/>
    <w:rsid w:val="000E59C8"/>
    <w:rsid w:val="000E7873"/>
    <w:rsid w:val="000F4F16"/>
    <w:rsid w:val="000F51F9"/>
    <w:rsid w:val="000F569E"/>
    <w:rsid w:val="000F7A50"/>
    <w:rsid w:val="000F7E68"/>
    <w:rsid w:val="0011012D"/>
    <w:rsid w:val="00121FD4"/>
    <w:rsid w:val="00127CF3"/>
    <w:rsid w:val="00127E08"/>
    <w:rsid w:val="00136AA4"/>
    <w:rsid w:val="0014720C"/>
    <w:rsid w:val="00155F03"/>
    <w:rsid w:val="00157690"/>
    <w:rsid w:val="001655FB"/>
    <w:rsid w:val="001749D8"/>
    <w:rsid w:val="00182641"/>
    <w:rsid w:val="00185E1E"/>
    <w:rsid w:val="00187176"/>
    <w:rsid w:val="001924F6"/>
    <w:rsid w:val="001A2337"/>
    <w:rsid w:val="001B484F"/>
    <w:rsid w:val="001B7D05"/>
    <w:rsid w:val="001C31BF"/>
    <w:rsid w:val="001D6EFF"/>
    <w:rsid w:val="001F5AC3"/>
    <w:rsid w:val="0020396E"/>
    <w:rsid w:val="002046A0"/>
    <w:rsid w:val="00204F76"/>
    <w:rsid w:val="0020540F"/>
    <w:rsid w:val="002128E9"/>
    <w:rsid w:val="002143AC"/>
    <w:rsid w:val="00223DE0"/>
    <w:rsid w:val="00226DC6"/>
    <w:rsid w:val="00227BD3"/>
    <w:rsid w:val="00232F8E"/>
    <w:rsid w:val="00246C8D"/>
    <w:rsid w:val="002472E3"/>
    <w:rsid w:val="00252D75"/>
    <w:rsid w:val="0025312E"/>
    <w:rsid w:val="00261B34"/>
    <w:rsid w:val="00270E47"/>
    <w:rsid w:val="002729DC"/>
    <w:rsid w:val="00293D69"/>
    <w:rsid w:val="002945FB"/>
    <w:rsid w:val="00295311"/>
    <w:rsid w:val="002A41B9"/>
    <w:rsid w:val="002A6EAF"/>
    <w:rsid w:val="002B0E6D"/>
    <w:rsid w:val="002C133C"/>
    <w:rsid w:val="002C5684"/>
    <w:rsid w:val="002C5763"/>
    <w:rsid w:val="002C6046"/>
    <w:rsid w:val="002D18E8"/>
    <w:rsid w:val="002E1188"/>
    <w:rsid w:val="002E3329"/>
    <w:rsid w:val="002E6438"/>
    <w:rsid w:val="002F29F0"/>
    <w:rsid w:val="002F2CC1"/>
    <w:rsid w:val="002F3BCD"/>
    <w:rsid w:val="002F7182"/>
    <w:rsid w:val="002F7862"/>
    <w:rsid w:val="00306F1D"/>
    <w:rsid w:val="00311545"/>
    <w:rsid w:val="00324D76"/>
    <w:rsid w:val="0033172F"/>
    <w:rsid w:val="003377C0"/>
    <w:rsid w:val="0034726C"/>
    <w:rsid w:val="00347DF3"/>
    <w:rsid w:val="003513CD"/>
    <w:rsid w:val="00360D7F"/>
    <w:rsid w:val="00371A5E"/>
    <w:rsid w:val="00371A98"/>
    <w:rsid w:val="003749A9"/>
    <w:rsid w:val="00382A66"/>
    <w:rsid w:val="00396956"/>
    <w:rsid w:val="003B362E"/>
    <w:rsid w:val="003B3776"/>
    <w:rsid w:val="003B4ADF"/>
    <w:rsid w:val="003B6C5C"/>
    <w:rsid w:val="003B76DE"/>
    <w:rsid w:val="003C20B5"/>
    <w:rsid w:val="003D1108"/>
    <w:rsid w:val="003D161B"/>
    <w:rsid w:val="003E04FF"/>
    <w:rsid w:val="003E380E"/>
    <w:rsid w:val="003E7C87"/>
    <w:rsid w:val="003F67C1"/>
    <w:rsid w:val="00405197"/>
    <w:rsid w:val="00417334"/>
    <w:rsid w:val="00417F1A"/>
    <w:rsid w:val="004239CC"/>
    <w:rsid w:val="004255AC"/>
    <w:rsid w:val="00427B78"/>
    <w:rsid w:val="004412E1"/>
    <w:rsid w:val="004508E3"/>
    <w:rsid w:val="00452EC6"/>
    <w:rsid w:val="00454AAD"/>
    <w:rsid w:val="0046093E"/>
    <w:rsid w:val="004638D2"/>
    <w:rsid w:val="00466D24"/>
    <w:rsid w:val="00477D23"/>
    <w:rsid w:val="004922D2"/>
    <w:rsid w:val="004A43B3"/>
    <w:rsid w:val="004B5965"/>
    <w:rsid w:val="004C4CCE"/>
    <w:rsid w:val="004E206F"/>
    <w:rsid w:val="004E6E89"/>
    <w:rsid w:val="004F3289"/>
    <w:rsid w:val="004F7882"/>
    <w:rsid w:val="00502448"/>
    <w:rsid w:val="00504780"/>
    <w:rsid w:val="00505865"/>
    <w:rsid w:val="00512C6D"/>
    <w:rsid w:val="005277CF"/>
    <w:rsid w:val="005403DE"/>
    <w:rsid w:val="00561CC4"/>
    <w:rsid w:val="00565FCE"/>
    <w:rsid w:val="005777FE"/>
    <w:rsid w:val="00584755"/>
    <w:rsid w:val="0059529A"/>
    <w:rsid w:val="00596A86"/>
    <w:rsid w:val="005978C8"/>
    <w:rsid w:val="005A0F29"/>
    <w:rsid w:val="005A4FC0"/>
    <w:rsid w:val="005A605A"/>
    <w:rsid w:val="005A6222"/>
    <w:rsid w:val="005B0AB0"/>
    <w:rsid w:val="005B781C"/>
    <w:rsid w:val="005C3BD3"/>
    <w:rsid w:val="005C6CED"/>
    <w:rsid w:val="005C7DDE"/>
    <w:rsid w:val="005D0F1C"/>
    <w:rsid w:val="005E2C25"/>
    <w:rsid w:val="005F2D84"/>
    <w:rsid w:val="005F470D"/>
    <w:rsid w:val="005F6BE5"/>
    <w:rsid w:val="005F780B"/>
    <w:rsid w:val="006050AE"/>
    <w:rsid w:val="006106D4"/>
    <w:rsid w:val="0061659C"/>
    <w:rsid w:val="006213E9"/>
    <w:rsid w:val="006223B9"/>
    <w:rsid w:val="00623AD3"/>
    <w:rsid w:val="006250DF"/>
    <w:rsid w:val="00631EC0"/>
    <w:rsid w:val="00635D0A"/>
    <w:rsid w:val="00655C9B"/>
    <w:rsid w:val="00656455"/>
    <w:rsid w:val="00661FBF"/>
    <w:rsid w:val="00663DB0"/>
    <w:rsid w:val="006647D4"/>
    <w:rsid w:val="006750DA"/>
    <w:rsid w:val="00675AD7"/>
    <w:rsid w:val="00680B90"/>
    <w:rsid w:val="006825CB"/>
    <w:rsid w:val="00687DBB"/>
    <w:rsid w:val="006A4B96"/>
    <w:rsid w:val="006A4CA5"/>
    <w:rsid w:val="006A5633"/>
    <w:rsid w:val="006A766E"/>
    <w:rsid w:val="006A793C"/>
    <w:rsid w:val="006B4FF1"/>
    <w:rsid w:val="006C3514"/>
    <w:rsid w:val="006C6A17"/>
    <w:rsid w:val="006C7946"/>
    <w:rsid w:val="006D175F"/>
    <w:rsid w:val="006E3939"/>
    <w:rsid w:val="006E4032"/>
    <w:rsid w:val="006F1102"/>
    <w:rsid w:val="006F24E9"/>
    <w:rsid w:val="006F33E5"/>
    <w:rsid w:val="006F5756"/>
    <w:rsid w:val="0071087A"/>
    <w:rsid w:val="00717DCE"/>
    <w:rsid w:val="00723C6B"/>
    <w:rsid w:val="007314B1"/>
    <w:rsid w:val="0073426D"/>
    <w:rsid w:val="007448D0"/>
    <w:rsid w:val="007466E8"/>
    <w:rsid w:val="00751F20"/>
    <w:rsid w:val="00755673"/>
    <w:rsid w:val="00764D1A"/>
    <w:rsid w:val="00774762"/>
    <w:rsid w:val="00775BA9"/>
    <w:rsid w:val="00777B4C"/>
    <w:rsid w:val="00794FCE"/>
    <w:rsid w:val="00795993"/>
    <w:rsid w:val="007967A3"/>
    <w:rsid w:val="007A1212"/>
    <w:rsid w:val="007A246B"/>
    <w:rsid w:val="007A4CE4"/>
    <w:rsid w:val="007A5135"/>
    <w:rsid w:val="007A7A24"/>
    <w:rsid w:val="007B1BA8"/>
    <w:rsid w:val="007B1EF7"/>
    <w:rsid w:val="007B4C1B"/>
    <w:rsid w:val="007C5544"/>
    <w:rsid w:val="007C701F"/>
    <w:rsid w:val="007F26A7"/>
    <w:rsid w:val="007F5BEB"/>
    <w:rsid w:val="007F6780"/>
    <w:rsid w:val="007F7634"/>
    <w:rsid w:val="00800ADD"/>
    <w:rsid w:val="0080343B"/>
    <w:rsid w:val="00803809"/>
    <w:rsid w:val="00806B35"/>
    <w:rsid w:val="00810C5F"/>
    <w:rsid w:val="008167BB"/>
    <w:rsid w:val="0081779B"/>
    <w:rsid w:val="00817ED4"/>
    <w:rsid w:val="00817F3E"/>
    <w:rsid w:val="008278C0"/>
    <w:rsid w:val="00830164"/>
    <w:rsid w:val="00832EA2"/>
    <w:rsid w:val="0083416B"/>
    <w:rsid w:val="00837F66"/>
    <w:rsid w:val="008436EB"/>
    <w:rsid w:val="00845E83"/>
    <w:rsid w:val="00852EFB"/>
    <w:rsid w:val="00856637"/>
    <w:rsid w:val="00872085"/>
    <w:rsid w:val="00873297"/>
    <w:rsid w:val="00891CCA"/>
    <w:rsid w:val="008979E5"/>
    <w:rsid w:val="008A2074"/>
    <w:rsid w:val="008A4083"/>
    <w:rsid w:val="008A5E21"/>
    <w:rsid w:val="008A77EE"/>
    <w:rsid w:val="008B1B37"/>
    <w:rsid w:val="008C040D"/>
    <w:rsid w:val="008C3614"/>
    <w:rsid w:val="008C6EC2"/>
    <w:rsid w:val="008C7390"/>
    <w:rsid w:val="008D4125"/>
    <w:rsid w:val="008E2AB4"/>
    <w:rsid w:val="008F56C2"/>
    <w:rsid w:val="00900D1F"/>
    <w:rsid w:val="00900F18"/>
    <w:rsid w:val="00903733"/>
    <w:rsid w:val="009048E0"/>
    <w:rsid w:val="00923504"/>
    <w:rsid w:val="009244B8"/>
    <w:rsid w:val="0093034C"/>
    <w:rsid w:val="00932A5B"/>
    <w:rsid w:val="009468A3"/>
    <w:rsid w:val="009468F5"/>
    <w:rsid w:val="00954640"/>
    <w:rsid w:val="0096423B"/>
    <w:rsid w:val="0096625A"/>
    <w:rsid w:val="009830BA"/>
    <w:rsid w:val="00983B0C"/>
    <w:rsid w:val="009868D3"/>
    <w:rsid w:val="0099185C"/>
    <w:rsid w:val="00995F95"/>
    <w:rsid w:val="00997946"/>
    <w:rsid w:val="009A4A45"/>
    <w:rsid w:val="009B1610"/>
    <w:rsid w:val="009B2FCA"/>
    <w:rsid w:val="009C1B0C"/>
    <w:rsid w:val="009C3F10"/>
    <w:rsid w:val="009C788B"/>
    <w:rsid w:val="009D1848"/>
    <w:rsid w:val="009E49AB"/>
    <w:rsid w:val="009E5E0E"/>
    <w:rsid w:val="009F0006"/>
    <w:rsid w:val="009F3947"/>
    <w:rsid w:val="009F3963"/>
    <w:rsid w:val="009F3F28"/>
    <w:rsid w:val="009F5E05"/>
    <w:rsid w:val="00A11E42"/>
    <w:rsid w:val="00A24317"/>
    <w:rsid w:val="00A34C1E"/>
    <w:rsid w:val="00A36C7C"/>
    <w:rsid w:val="00A40AF8"/>
    <w:rsid w:val="00A523E7"/>
    <w:rsid w:val="00A60F8C"/>
    <w:rsid w:val="00A6513C"/>
    <w:rsid w:val="00A7470F"/>
    <w:rsid w:val="00A8215D"/>
    <w:rsid w:val="00A82D32"/>
    <w:rsid w:val="00A8592F"/>
    <w:rsid w:val="00A87DB6"/>
    <w:rsid w:val="00A91B13"/>
    <w:rsid w:val="00A92A99"/>
    <w:rsid w:val="00AA068E"/>
    <w:rsid w:val="00AB35E7"/>
    <w:rsid w:val="00AB403C"/>
    <w:rsid w:val="00AB551F"/>
    <w:rsid w:val="00AC129B"/>
    <w:rsid w:val="00AC1EDB"/>
    <w:rsid w:val="00AC2448"/>
    <w:rsid w:val="00AC326E"/>
    <w:rsid w:val="00AC56DF"/>
    <w:rsid w:val="00AD1585"/>
    <w:rsid w:val="00AD3DA7"/>
    <w:rsid w:val="00AD50B2"/>
    <w:rsid w:val="00AE3683"/>
    <w:rsid w:val="00AE535C"/>
    <w:rsid w:val="00AE57D6"/>
    <w:rsid w:val="00AF5AB8"/>
    <w:rsid w:val="00AF69F7"/>
    <w:rsid w:val="00B04B14"/>
    <w:rsid w:val="00B06762"/>
    <w:rsid w:val="00B120E3"/>
    <w:rsid w:val="00B23DE2"/>
    <w:rsid w:val="00B257D1"/>
    <w:rsid w:val="00B3338F"/>
    <w:rsid w:val="00B3770C"/>
    <w:rsid w:val="00B44F00"/>
    <w:rsid w:val="00B46EBB"/>
    <w:rsid w:val="00B47F4B"/>
    <w:rsid w:val="00B516A8"/>
    <w:rsid w:val="00B55AD3"/>
    <w:rsid w:val="00B570B4"/>
    <w:rsid w:val="00B60955"/>
    <w:rsid w:val="00B62544"/>
    <w:rsid w:val="00B63673"/>
    <w:rsid w:val="00B71B7A"/>
    <w:rsid w:val="00B72FFD"/>
    <w:rsid w:val="00B74169"/>
    <w:rsid w:val="00B8029A"/>
    <w:rsid w:val="00B86825"/>
    <w:rsid w:val="00BA3921"/>
    <w:rsid w:val="00BA4E36"/>
    <w:rsid w:val="00BB014A"/>
    <w:rsid w:val="00BB4649"/>
    <w:rsid w:val="00BB59FC"/>
    <w:rsid w:val="00BB76B0"/>
    <w:rsid w:val="00BC55B6"/>
    <w:rsid w:val="00BC575F"/>
    <w:rsid w:val="00BD0C09"/>
    <w:rsid w:val="00BD125D"/>
    <w:rsid w:val="00BD3456"/>
    <w:rsid w:val="00BE53A7"/>
    <w:rsid w:val="00BF6119"/>
    <w:rsid w:val="00C07026"/>
    <w:rsid w:val="00C109DE"/>
    <w:rsid w:val="00C14481"/>
    <w:rsid w:val="00C23A55"/>
    <w:rsid w:val="00C2475B"/>
    <w:rsid w:val="00C27563"/>
    <w:rsid w:val="00C301AD"/>
    <w:rsid w:val="00C32F89"/>
    <w:rsid w:val="00C34F90"/>
    <w:rsid w:val="00C37D7A"/>
    <w:rsid w:val="00C40954"/>
    <w:rsid w:val="00C478C0"/>
    <w:rsid w:val="00C479DD"/>
    <w:rsid w:val="00C61EDF"/>
    <w:rsid w:val="00C62E75"/>
    <w:rsid w:val="00C728F6"/>
    <w:rsid w:val="00C8165B"/>
    <w:rsid w:val="00C84DC9"/>
    <w:rsid w:val="00C850FD"/>
    <w:rsid w:val="00C853B4"/>
    <w:rsid w:val="00CA00A5"/>
    <w:rsid w:val="00CA7781"/>
    <w:rsid w:val="00CC043B"/>
    <w:rsid w:val="00CD0847"/>
    <w:rsid w:val="00CD09A6"/>
    <w:rsid w:val="00CD6998"/>
    <w:rsid w:val="00CD7B27"/>
    <w:rsid w:val="00CE3A09"/>
    <w:rsid w:val="00CE7145"/>
    <w:rsid w:val="00CF3C0C"/>
    <w:rsid w:val="00CF6579"/>
    <w:rsid w:val="00D06759"/>
    <w:rsid w:val="00D07A86"/>
    <w:rsid w:val="00D1107E"/>
    <w:rsid w:val="00D139B3"/>
    <w:rsid w:val="00D16F0F"/>
    <w:rsid w:val="00D214F6"/>
    <w:rsid w:val="00D21F68"/>
    <w:rsid w:val="00D2664D"/>
    <w:rsid w:val="00D3103B"/>
    <w:rsid w:val="00D3113B"/>
    <w:rsid w:val="00D377CE"/>
    <w:rsid w:val="00D55EF6"/>
    <w:rsid w:val="00D6178C"/>
    <w:rsid w:val="00D66AA5"/>
    <w:rsid w:val="00D66EB6"/>
    <w:rsid w:val="00D70F5F"/>
    <w:rsid w:val="00D71FDA"/>
    <w:rsid w:val="00D85E05"/>
    <w:rsid w:val="00D91ECC"/>
    <w:rsid w:val="00DA353E"/>
    <w:rsid w:val="00DB2EB0"/>
    <w:rsid w:val="00DC0EE3"/>
    <w:rsid w:val="00DC52F8"/>
    <w:rsid w:val="00DC691D"/>
    <w:rsid w:val="00DD772E"/>
    <w:rsid w:val="00DE0DB3"/>
    <w:rsid w:val="00E02458"/>
    <w:rsid w:val="00E13043"/>
    <w:rsid w:val="00E14716"/>
    <w:rsid w:val="00E16FBE"/>
    <w:rsid w:val="00E30320"/>
    <w:rsid w:val="00E310A7"/>
    <w:rsid w:val="00E33CC3"/>
    <w:rsid w:val="00E3452B"/>
    <w:rsid w:val="00E35A01"/>
    <w:rsid w:val="00E4336F"/>
    <w:rsid w:val="00E44DFE"/>
    <w:rsid w:val="00E460A1"/>
    <w:rsid w:val="00E4613C"/>
    <w:rsid w:val="00E506DC"/>
    <w:rsid w:val="00E56587"/>
    <w:rsid w:val="00E572C0"/>
    <w:rsid w:val="00E602F7"/>
    <w:rsid w:val="00E60DE9"/>
    <w:rsid w:val="00E6129A"/>
    <w:rsid w:val="00E70AD8"/>
    <w:rsid w:val="00E72E50"/>
    <w:rsid w:val="00E759FB"/>
    <w:rsid w:val="00E7633D"/>
    <w:rsid w:val="00E84BD8"/>
    <w:rsid w:val="00EA5F8D"/>
    <w:rsid w:val="00EB0D7F"/>
    <w:rsid w:val="00EB2162"/>
    <w:rsid w:val="00EB7C71"/>
    <w:rsid w:val="00EC07AF"/>
    <w:rsid w:val="00EC1BEC"/>
    <w:rsid w:val="00EC3F6D"/>
    <w:rsid w:val="00ED3D8F"/>
    <w:rsid w:val="00EE040B"/>
    <w:rsid w:val="00EE4B11"/>
    <w:rsid w:val="00F0306E"/>
    <w:rsid w:val="00F04C9C"/>
    <w:rsid w:val="00F06C44"/>
    <w:rsid w:val="00F1367C"/>
    <w:rsid w:val="00F1542E"/>
    <w:rsid w:val="00F212BB"/>
    <w:rsid w:val="00F2398D"/>
    <w:rsid w:val="00F23F20"/>
    <w:rsid w:val="00F244DF"/>
    <w:rsid w:val="00F24B8A"/>
    <w:rsid w:val="00F32BBF"/>
    <w:rsid w:val="00F34BF8"/>
    <w:rsid w:val="00F35529"/>
    <w:rsid w:val="00F35CF0"/>
    <w:rsid w:val="00F4020D"/>
    <w:rsid w:val="00F40CEA"/>
    <w:rsid w:val="00F476CF"/>
    <w:rsid w:val="00F5265C"/>
    <w:rsid w:val="00F52C3D"/>
    <w:rsid w:val="00F55AB7"/>
    <w:rsid w:val="00F61053"/>
    <w:rsid w:val="00F61DE7"/>
    <w:rsid w:val="00F646B8"/>
    <w:rsid w:val="00F6635A"/>
    <w:rsid w:val="00F6653B"/>
    <w:rsid w:val="00F6782A"/>
    <w:rsid w:val="00F70DB5"/>
    <w:rsid w:val="00F81A86"/>
    <w:rsid w:val="00F87CFE"/>
    <w:rsid w:val="00F87FA2"/>
    <w:rsid w:val="00F90AD6"/>
    <w:rsid w:val="00F92B75"/>
    <w:rsid w:val="00F9486A"/>
    <w:rsid w:val="00F95B92"/>
    <w:rsid w:val="00FA5731"/>
    <w:rsid w:val="00FD03A1"/>
    <w:rsid w:val="00FD74D3"/>
    <w:rsid w:val="00FF12BB"/>
    <w:rsid w:val="00FF26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de6422,#5b1868,#004286"/>
    </o:shapedefaults>
    <o:shapelayout v:ext="edit">
      <o:idmap v:ext="edit" data="1"/>
    </o:shapelayout>
  </w:shapeDefaults>
  <w:decimalSymbol w:val=","/>
  <w:listSeparator w:val=";"/>
  <w14:docId w14:val="62CF9057"/>
  <w15:docId w15:val="{3C6D3E34-FF1A-4842-8A20-7DB5D33D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4EAD"/>
    <w:pPr>
      <w:overflowPunct w:val="0"/>
      <w:autoSpaceDE w:val="0"/>
      <w:autoSpaceDN w:val="0"/>
      <w:adjustRightInd w:val="0"/>
      <w:jc w:val="both"/>
      <w:textAlignment w:val="baseline"/>
    </w:pPr>
    <w:rPr>
      <w:rFonts w:ascii="Arial" w:hAnsi="Arial"/>
    </w:rPr>
  </w:style>
  <w:style w:type="paragraph" w:styleId="Titre1">
    <w:name w:val="heading 1"/>
    <w:basedOn w:val="Normal"/>
    <w:next w:val="Normal"/>
    <w:qFormat/>
    <w:pPr>
      <w:keepNext/>
      <w:numPr>
        <w:numId w:val="2"/>
      </w:numPr>
      <w:outlineLvl w:val="0"/>
    </w:pPr>
    <w:rPr>
      <w:b/>
      <w:sz w:val="36"/>
    </w:rPr>
  </w:style>
  <w:style w:type="paragraph" w:styleId="Titre2">
    <w:name w:val="heading 2"/>
    <w:basedOn w:val="Normal"/>
    <w:next w:val="Normal"/>
    <w:qFormat/>
    <w:pPr>
      <w:keepNext/>
      <w:numPr>
        <w:ilvl w:val="1"/>
        <w:numId w:val="7"/>
      </w:numPr>
      <w:tabs>
        <w:tab w:val="left" w:pos="3240"/>
      </w:tabs>
      <w:outlineLvl w:val="1"/>
    </w:pPr>
    <w:rPr>
      <w:b/>
      <w:sz w:val="22"/>
    </w:rPr>
  </w:style>
  <w:style w:type="paragraph" w:styleId="Titre3">
    <w:name w:val="heading 3"/>
    <w:basedOn w:val="Normal"/>
    <w:next w:val="Normal"/>
    <w:qFormat/>
    <w:pPr>
      <w:keepNext/>
      <w:tabs>
        <w:tab w:val="left" w:pos="6946"/>
      </w:tabs>
      <w:ind w:right="-244"/>
      <w:outlineLvl w:val="2"/>
    </w:pPr>
    <w:rPr>
      <w:color w:val="DE6422"/>
      <w:sz w:val="22"/>
    </w:rPr>
  </w:style>
  <w:style w:type="paragraph" w:styleId="Titre4">
    <w:name w:val="heading 4"/>
    <w:aliases w:val="l4,I4,H1,4th level,H4,T4,Level 2 - a,Sub-Minor,h4,chapitre 1.1.1.1,da..."/>
    <w:basedOn w:val="Normal"/>
    <w:next w:val="Normal"/>
    <w:qFormat/>
    <w:pPr>
      <w:keepNext/>
      <w:tabs>
        <w:tab w:val="left" w:pos="360"/>
        <w:tab w:val="left" w:pos="3240"/>
      </w:tabs>
      <w:outlineLvl w:val="3"/>
    </w:pPr>
    <w:rPr>
      <w:b/>
      <w:color w:val="004286"/>
      <w:sz w:val="18"/>
    </w:rPr>
  </w:style>
  <w:style w:type="paragraph" w:styleId="Titre5">
    <w:name w:val="heading 5"/>
    <w:aliases w:val="Article"/>
    <w:basedOn w:val="Normal"/>
    <w:next w:val="Normal"/>
    <w:qFormat/>
    <w:pPr>
      <w:keepNext/>
      <w:tabs>
        <w:tab w:val="left" w:pos="360"/>
        <w:tab w:val="left" w:pos="3240"/>
      </w:tabs>
      <w:outlineLvl w:val="4"/>
    </w:pPr>
    <w:rPr>
      <w:b/>
      <w:color w:val="004286"/>
      <w:sz w:val="14"/>
    </w:rPr>
  </w:style>
  <w:style w:type="paragraph" w:styleId="Titre6">
    <w:name w:val="heading 6"/>
    <w:basedOn w:val="Normal"/>
    <w:next w:val="Normal"/>
    <w:qFormat/>
    <w:pPr>
      <w:keepNext/>
      <w:tabs>
        <w:tab w:val="left" w:pos="360"/>
        <w:tab w:val="left" w:pos="3240"/>
      </w:tabs>
      <w:outlineLvl w:val="5"/>
    </w:pPr>
    <w:rPr>
      <w:b/>
      <w:color w:val="004286"/>
      <w:sz w:val="16"/>
    </w:rPr>
  </w:style>
  <w:style w:type="paragraph" w:styleId="Titre7">
    <w:name w:val="heading 7"/>
    <w:basedOn w:val="Normal"/>
    <w:next w:val="Normal"/>
    <w:qFormat/>
    <w:pPr>
      <w:keepNext/>
      <w:tabs>
        <w:tab w:val="left" w:pos="360"/>
        <w:tab w:val="left" w:pos="3240"/>
      </w:tabs>
      <w:outlineLvl w:val="6"/>
    </w:pPr>
    <w:rPr>
      <w:b/>
      <w:color w:val="DE6422"/>
      <w:sz w:val="18"/>
    </w:rPr>
  </w:style>
  <w:style w:type="paragraph" w:styleId="Titre8">
    <w:name w:val="heading 8"/>
    <w:basedOn w:val="Normal"/>
    <w:next w:val="Normal"/>
    <w:qFormat/>
    <w:pPr>
      <w:keepNext/>
      <w:tabs>
        <w:tab w:val="left" w:pos="360"/>
        <w:tab w:val="left" w:pos="3240"/>
      </w:tabs>
      <w:outlineLvl w:val="7"/>
    </w:pPr>
    <w:rPr>
      <w:b/>
      <w:color w:val="004286"/>
      <w:sz w:val="12"/>
    </w:rPr>
  </w:style>
  <w:style w:type="paragraph" w:styleId="Titre9">
    <w:name w:val="heading 9"/>
    <w:basedOn w:val="Normal"/>
    <w:next w:val="Normal"/>
    <w:qFormat/>
    <w:pPr>
      <w:keepNext/>
      <w:tabs>
        <w:tab w:val="left" w:pos="0"/>
        <w:tab w:val="left" w:pos="3240"/>
      </w:tabs>
      <w:outlineLvl w:val="8"/>
    </w:pPr>
    <w:rPr>
      <w:b/>
      <w:color w:val="004286"/>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t,et pied de page,foote,En-tête1,E.e,En-tête SQ,E,En-tête11,E.e1,E1,En-tête12,E.e2,En-tête SQ1,E2,En-tête111,E.e11,E11,En-tête13,E.e3,En-tête SQ2,E3,En-tête112,E.e12,E12,h,Cover Page,normal3,he,he1,he2,he3,he4,he5,he6,he7,he8,he9,he10,he11,he12"/>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traitcorpsdetexte21">
    <w:name w:val="Retrait corps de texte 21"/>
    <w:basedOn w:val="Normal"/>
    <w:pPr>
      <w:tabs>
        <w:tab w:val="left" w:pos="3119"/>
        <w:tab w:val="left" w:pos="4111"/>
        <w:tab w:val="left" w:pos="5954"/>
        <w:tab w:val="left" w:pos="7088"/>
        <w:tab w:val="left" w:pos="8789"/>
      </w:tabs>
      <w:ind w:left="3119" w:hanging="3119"/>
    </w:pPr>
    <w:rPr>
      <w:b/>
      <w:bCs/>
      <w:sz w:val="22"/>
      <w:szCs w:val="22"/>
    </w:rPr>
  </w:style>
  <w:style w:type="character" w:styleId="Numrodepage">
    <w:name w:val="page number"/>
    <w:basedOn w:val="Policepardfaut"/>
  </w:style>
  <w:style w:type="paragraph" w:styleId="Corpsdetexte">
    <w:name w:val="Body Text"/>
    <w:basedOn w:val="Normal"/>
    <w:pPr>
      <w:tabs>
        <w:tab w:val="left" w:pos="360"/>
        <w:tab w:val="left" w:pos="3240"/>
      </w:tabs>
    </w:pPr>
    <w:rPr>
      <w:sz w:val="22"/>
    </w:rPr>
  </w:style>
  <w:style w:type="paragraph" w:styleId="Corpsdetexte2">
    <w:name w:val="Body Text 2"/>
    <w:basedOn w:val="Normal"/>
    <w:pPr>
      <w:tabs>
        <w:tab w:val="left" w:pos="360"/>
        <w:tab w:val="left" w:pos="3240"/>
      </w:tabs>
    </w:pPr>
    <w:rPr>
      <w:b/>
      <w:color w:val="004286"/>
      <w:sz w:val="19"/>
    </w:rPr>
  </w:style>
  <w:style w:type="paragraph" w:styleId="Corpsdetexte3">
    <w:name w:val="Body Text 3"/>
    <w:basedOn w:val="Normal"/>
    <w:pPr>
      <w:tabs>
        <w:tab w:val="left" w:pos="360"/>
        <w:tab w:val="left" w:pos="3240"/>
      </w:tabs>
      <w:ind w:right="-44"/>
    </w:pPr>
    <w:rPr>
      <w:sz w:val="18"/>
    </w:rPr>
  </w:style>
  <w:style w:type="paragraph" w:customStyle="1" w:styleId="bulletsynthse">
    <w:name w:val="bullet synthèse"/>
    <w:basedOn w:val="Normal"/>
    <w:pPr>
      <w:numPr>
        <w:numId w:val="1"/>
      </w:numPr>
      <w:overflowPunct/>
      <w:autoSpaceDE/>
      <w:autoSpaceDN/>
      <w:adjustRightInd/>
      <w:spacing w:before="120" w:after="120"/>
      <w:textAlignment w:val="auto"/>
    </w:pPr>
    <w:rPr>
      <w:rFonts w:eastAsia="PMingLiU"/>
      <w:color w:val="052B73"/>
      <w:sz w:val="22"/>
      <w:lang w:eastAsia="zh-TW"/>
    </w:rPr>
  </w:style>
  <w:style w:type="paragraph" w:styleId="Explorateurdedocuments">
    <w:name w:val="Document Map"/>
    <w:basedOn w:val="Normal"/>
    <w:semiHidden/>
    <w:pPr>
      <w:shd w:val="clear" w:color="auto" w:fill="000080"/>
    </w:pPr>
    <w:rPr>
      <w:rFonts w:ascii="Helvetica" w:eastAsia="MS Gothic" w:hAnsi="Helvetica"/>
    </w:rPr>
  </w:style>
  <w:style w:type="paragraph" w:styleId="TM1">
    <w:name w:val="toc 1"/>
    <w:basedOn w:val="Normal"/>
    <w:next w:val="Normal"/>
    <w:autoRedefine/>
    <w:uiPriority w:val="39"/>
    <w:pPr>
      <w:spacing w:before="120" w:after="120"/>
    </w:pPr>
    <w:rPr>
      <w:b/>
      <w:color w:val="004286"/>
      <w:sz w:val="28"/>
    </w:rPr>
  </w:style>
  <w:style w:type="paragraph" w:styleId="TM2">
    <w:name w:val="toc 2"/>
    <w:basedOn w:val="Normal"/>
    <w:next w:val="Normal"/>
    <w:autoRedefine/>
    <w:uiPriority w:val="39"/>
    <w:pPr>
      <w:ind w:left="200"/>
    </w:pPr>
    <w:rPr>
      <w:color w:val="004286"/>
      <w:sz w:val="22"/>
    </w:rPr>
  </w:style>
  <w:style w:type="paragraph" w:styleId="TM3">
    <w:name w:val="toc 3"/>
    <w:basedOn w:val="Normal"/>
    <w:next w:val="Normal"/>
    <w:autoRedefine/>
    <w:semiHidden/>
    <w:pPr>
      <w:tabs>
        <w:tab w:val="left" w:pos="1000"/>
        <w:tab w:val="right" w:leader="dot" w:pos="10194"/>
      </w:tabs>
      <w:ind w:left="400"/>
    </w:pPr>
    <w:rPr>
      <w:color w:val="DE6422"/>
    </w:rPr>
  </w:style>
  <w:style w:type="paragraph" w:styleId="TM4">
    <w:name w:val="toc 4"/>
    <w:basedOn w:val="Normal"/>
    <w:next w:val="Normal"/>
    <w:autoRedefine/>
    <w:semiHidden/>
    <w:pPr>
      <w:ind w:left="600"/>
    </w:pPr>
    <w:rPr>
      <w:rFonts w:ascii="Times" w:hAnsi="Times"/>
      <w:sz w:val="18"/>
    </w:rPr>
  </w:style>
  <w:style w:type="paragraph" w:styleId="TM5">
    <w:name w:val="toc 5"/>
    <w:basedOn w:val="TM4"/>
    <w:next w:val="Normal"/>
    <w:autoRedefine/>
    <w:semiHidden/>
    <w:pPr>
      <w:ind w:left="0"/>
    </w:pPr>
    <w:rPr>
      <w:rFonts w:ascii="Times New Roman" w:hAnsi="Times New Roman"/>
      <w:sz w:val="24"/>
    </w:rPr>
  </w:style>
  <w:style w:type="paragraph" w:styleId="TM6">
    <w:name w:val="toc 6"/>
    <w:basedOn w:val="Normal"/>
    <w:next w:val="Normal"/>
    <w:autoRedefine/>
    <w:semiHidden/>
    <w:pPr>
      <w:ind w:left="1000"/>
    </w:pPr>
    <w:rPr>
      <w:rFonts w:ascii="Times" w:hAnsi="Times"/>
      <w:sz w:val="18"/>
    </w:rPr>
  </w:style>
  <w:style w:type="paragraph" w:styleId="TM7">
    <w:name w:val="toc 7"/>
    <w:basedOn w:val="Normal"/>
    <w:next w:val="Normal"/>
    <w:autoRedefine/>
    <w:semiHidden/>
    <w:pPr>
      <w:ind w:left="1200"/>
    </w:pPr>
    <w:rPr>
      <w:rFonts w:ascii="Times" w:hAnsi="Times"/>
      <w:sz w:val="18"/>
    </w:rPr>
  </w:style>
  <w:style w:type="paragraph" w:styleId="TM8">
    <w:name w:val="toc 8"/>
    <w:basedOn w:val="Normal"/>
    <w:next w:val="Normal"/>
    <w:autoRedefine/>
    <w:semiHidden/>
    <w:pPr>
      <w:ind w:left="1400"/>
    </w:pPr>
    <w:rPr>
      <w:rFonts w:ascii="Times" w:hAnsi="Times"/>
      <w:sz w:val="18"/>
    </w:rPr>
  </w:style>
  <w:style w:type="paragraph" w:styleId="TM9">
    <w:name w:val="toc 9"/>
    <w:basedOn w:val="Normal"/>
    <w:next w:val="Normal"/>
    <w:autoRedefine/>
    <w:semiHidden/>
    <w:pPr>
      <w:ind w:left="1600"/>
    </w:pPr>
    <w:rPr>
      <w:rFonts w:ascii="Times" w:hAnsi="Times"/>
      <w:sz w:val="18"/>
    </w:rPr>
  </w:style>
  <w:style w:type="paragraph" w:customStyle="1" w:styleId="StyleComplexeArialComplexe10ptLatinGrasItaliqueA">
    <w:name w:val="Style (Complexe) Arial (Complexe) 10 pt (Latin) Gras Italique A..."/>
    <w:basedOn w:val="Normal"/>
    <w:pPr>
      <w:overflowPunct/>
      <w:autoSpaceDE/>
      <w:autoSpaceDN/>
      <w:adjustRightInd/>
      <w:spacing w:before="120"/>
      <w:textAlignment w:val="auto"/>
    </w:pPr>
    <w:rPr>
      <w:rFonts w:cs="Arial"/>
      <w:b/>
      <w:i/>
      <w:iCs/>
    </w:rPr>
  </w:style>
  <w:style w:type="paragraph" w:customStyle="1" w:styleId="Page2">
    <w:name w:val="Page 2"/>
    <w:basedOn w:val="Normal"/>
    <w:pPr>
      <w:spacing w:before="120" w:line="340" w:lineRule="atLeast"/>
      <w:ind w:left="2268" w:hanging="340"/>
    </w:pPr>
    <w:rPr>
      <w:rFonts w:ascii="Book Antiqua" w:hAnsi="Book Antiqua"/>
      <w:sz w:val="22"/>
    </w:rPr>
  </w:style>
  <w:style w:type="paragraph" w:customStyle="1" w:styleId="05ARTICLENiv1-Texte">
    <w:name w:val="05_ARTICLE_Niv1 - Texte"/>
    <w:pPr>
      <w:spacing w:after="240"/>
      <w:jc w:val="both"/>
    </w:pPr>
    <w:rPr>
      <w:rFonts w:ascii="Verdana" w:hAnsi="Verdana"/>
      <w:noProof/>
      <w:spacing w:val="-6"/>
      <w:sz w:val="18"/>
    </w:rPr>
  </w:style>
  <w:style w:type="character" w:customStyle="1" w:styleId="05ARTICLENiv1-TexteCar">
    <w:name w:val="05_ARTICLE_Niv1 - Texte Car"/>
    <w:rPr>
      <w:rFonts w:ascii="Verdana" w:hAnsi="Verdana"/>
      <w:noProof/>
      <w:spacing w:val="-6"/>
      <w:sz w:val="18"/>
      <w:lang w:val="fr-FR" w:eastAsia="fr-FR" w:bidi="ar-SA"/>
    </w:rPr>
  </w:style>
  <w:style w:type="paragraph" w:styleId="Commentaire">
    <w:name w:val="annotation text"/>
    <w:basedOn w:val="Normal"/>
    <w:link w:val="CommentaireCar"/>
    <w:semiHidden/>
    <w:pPr>
      <w:overflowPunct/>
      <w:autoSpaceDE/>
      <w:autoSpaceDN/>
      <w:adjustRightInd/>
      <w:spacing w:after="240"/>
      <w:textAlignment w:val="auto"/>
    </w:pPr>
    <w:rPr>
      <w:rFonts w:ascii="Verdana" w:hAnsi="Verdana"/>
      <w:spacing w:val="-6"/>
      <w:sz w:val="24"/>
    </w:rPr>
  </w:style>
  <w:style w:type="character" w:styleId="Marquedecommentaire">
    <w:name w:val="annotation reference"/>
    <w:semiHidden/>
    <w:rPr>
      <w:sz w:val="16"/>
      <w:szCs w:val="16"/>
    </w:rPr>
  </w:style>
  <w:style w:type="paragraph" w:customStyle="1" w:styleId="numrationniveau1">
    <w:name w:val="énumération niveau 1"/>
    <w:basedOn w:val="Normal"/>
    <w:pPr>
      <w:numPr>
        <w:numId w:val="3"/>
      </w:numPr>
      <w:overflowPunct/>
      <w:autoSpaceDE/>
      <w:autoSpaceDN/>
      <w:adjustRightInd/>
      <w:spacing w:after="240"/>
      <w:textAlignment w:val="auto"/>
    </w:pPr>
    <w:rPr>
      <w:rFonts w:ascii="Verdana" w:hAnsi="Verdana"/>
      <w:spacing w:val="-6"/>
      <w:sz w:val="18"/>
    </w:rPr>
  </w:style>
  <w:style w:type="paragraph" w:styleId="Retraitnormal">
    <w:name w:val="Normal Indent"/>
    <w:basedOn w:val="Normal"/>
    <w:pPr>
      <w:ind w:left="708"/>
    </w:pPr>
  </w:style>
  <w:style w:type="paragraph" w:customStyle="1" w:styleId="05ARTICLENiv1-SsTitre">
    <w:name w:val="05_ARTICLE_Niv1 - SsTitre"/>
    <w:next w:val="05ARTICLENiv1-Texte"/>
    <w:pPr>
      <w:spacing w:before="120" w:after="120"/>
      <w:jc w:val="both"/>
    </w:pPr>
    <w:rPr>
      <w:rFonts w:ascii="Verdana" w:hAnsi="Verdana"/>
      <w:b/>
      <w:noProof/>
      <w:color w:val="BF3F00"/>
      <w:spacing w:val="-10"/>
    </w:rPr>
  </w:style>
  <w:style w:type="character" w:customStyle="1" w:styleId="05ARTICLENiv1-SsTitreCar">
    <w:name w:val="05_ARTICLE_Niv1 - SsTitre Car"/>
    <w:rPr>
      <w:rFonts w:ascii="Verdana" w:hAnsi="Verdana"/>
      <w:b/>
      <w:noProof/>
      <w:color w:val="BF3F00"/>
      <w:spacing w:val="-10"/>
      <w:lang w:val="fr-FR" w:eastAsia="fr-FR" w:bidi="ar-SA"/>
    </w:rPr>
  </w:style>
  <w:style w:type="paragraph" w:customStyle="1" w:styleId="A10tab">
    <w:name w:val="A10 tab"/>
    <w:basedOn w:val="Normal"/>
    <w:pPr>
      <w:spacing w:line="240" w:lineRule="atLeast"/>
      <w:ind w:left="700"/>
    </w:pPr>
    <w:rPr>
      <w:rFonts w:ascii="Times" w:hAnsi="Times"/>
      <w:noProof/>
    </w:rPr>
  </w:style>
  <w:style w:type="paragraph" w:customStyle="1" w:styleId="Car">
    <w:name w:val="Car"/>
    <w:basedOn w:val="Normal"/>
    <w:pPr>
      <w:overflowPunct/>
      <w:autoSpaceDE/>
      <w:autoSpaceDN/>
      <w:adjustRightInd/>
      <w:spacing w:after="160" w:line="240" w:lineRule="exact"/>
      <w:textAlignment w:val="auto"/>
    </w:pPr>
    <w:rPr>
      <w:rFonts w:ascii="Trebuchet MS" w:hAnsi="Trebuchet MS" w:cs="Trebuchet MS"/>
      <w:color w:val="000000"/>
      <w:sz w:val="24"/>
      <w:szCs w:val="24"/>
      <w:lang w:eastAsia="en-US"/>
    </w:rPr>
  </w:style>
  <w:style w:type="paragraph" w:customStyle="1" w:styleId="TABNIVEAU1">
    <w:name w:val="TAB NIVEAU 1"/>
    <w:basedOn w:val="Normal"/>
    <w:pPr>
      <w:numPr>
        <w:numId w:val="4"/>
      </w:numPr>
      <w:overflowPunct/>
      <w:autoSpaceDE/>
      <w:autoSpaceDN/>
      <w:adjustRightInd/>
      <w:textAlignment w:val="auto"/>
    </w:pPr>
    <w:rPr>
      <w:rFonts w:ascii="Verdana" w:hAnsi="Verdana"/>
      <w:spacing w:val="-6"/>
      <w:sz w:val="18"/>
    </w:rPr>
  </w:style>
  <w:style w:type="paragraph" w:customStyle="1" w:styleId="ARTICLEIDEFIFINITFI">
    <w:name w:val="ARTICLE I DEFIFINITFI"/>
    <w:basedOn w:val="Normal"/>
    <w:pPr>
      <w:tabs>
        <w:tab w:val="left" w:pos="1700"/>
      </w:tabs>
    </w:pPr>
    <w:rPr>
      <w:rFonts w:ascii="Palatino" w:hAnsi="Palatino"/>
      <w:b/>
      <w:caps/>
      <w:noProof/>
      <w:sz w:val="22"/>
    </w:rPr>
  </w:style>
  <w:style w:type="paragraph" w:customStyle="1" w:styleId="Titre1-Consult">
    <w:name w:val="Titre 1- Consult"/>
    <w:basedOn w:val="Titre1"/>
    <w:pPr>
      <w:numPr>
        <w:numId w:val="5"/>
      </w:numPr>
      <w:spacing w:before="360" w:after="360"/>
    </w:pPr>
    <w:rPr>
      <w:color w:val="004494"/>
    </w:rPr>
  </w:style>
  <w:style w:type="paragraph" w:styleId="Textedebulles">
    <w:name w:val="Balloon Text"/>
    <w:basedOn w:val="Normal"/>
    <w:semiHidden/>
    <w:rPr>
      <w:rFonts w:ascii="Tahoma" w:hAnsi="Tahoma" w:cs="Tahoma"/>
      <w:sz w:val="16"/>
      <w:szCs w:val="16"/>
    </w:rPr>
  </w:style>
  <w:style w:type="paragraph" w:customStyle="1" w:styleId="Consult-titre2">
    <w:name w:val="Consult-titre 2"/>
    <w:basedOn w:val="Titre2"/>
    <w:next w:val="Corpsdetexte"/>
    <w:pPr>
      <w:framePr w:wrap="around" w:vAnchor="text" w:hAnchor="text" w:y="1"/>
      <w:spacing w:before="240" w:after="120"/>
    </w:pPr>
    <w:rPr>
      <w:color w:val="004494"/>
    </w:rPr>
  </w:style>
  <w:style w:type="paragraph" w:customStyle="1" w:styleId="Titre2-consult">
    <w:name w:val="Titre 2 - consult"/>
    <w:basedOn w:val="Normal"/>
    <w:pPr>
      <w:numPr>
        <w:numId w:val="6"/>
      </w:numPr>
      <w:tabs>
        <w:tab w:val="left" w:pos="540"/>
        <w:tab w:val="left" w:pos="1260"/>
        <w:tab w:val="left" w:pos="9000"/>
      </w:tabs>
      <w:spacing w:before="120"/>
    </w:pPr>
    <w:rPr>
      <w:b/>
      <w:color w:val="DE6422"/>
      <w:sz w:val="22"/>
    </w:rPr>
  </w:style>
  <w:style w:type="paragraph" w:styleId="Notedebasdepage">
    <w:name w:val="footnote text"/>
    <w:basedOn w:val="Normal"/>
    <w:semiHidden/>
    <w:pPr>
      <w:overflowPunct/>
      <w:autoSpaceDE/>
      <w:autoSpaceDN/>
      <w:adjustRightInd/>
      <w:spacing w:before="270" w:line="260" w:lineRule="exact"/>
      <w:textAlignment w:val="auto"/>
    </w:pPr>
  </w:style>
  <w:style w:type="character" w:styleId="Appelnotedebasdep">
    <w:name w:val="footnote reference"/>
    <w:semiHidden/>
    <w:rPr>
      <w:vertAlign w:val="superscript"/>
    </w:rPr>
  </w:style>
  <w:style w:type="paragraph" w:styleId="Retraitcorpsdetexte">
    <w:name w:val="Body Text Indent"/>
    <w:basedOn w:val="Normal"/>
    <w:pPr>
      <w:spacing w:after="120"/>
      <w:ind w:left="283"/>
    </w:pPr>
  </w:style>
  <w:style w:type="paragraph" w:customStyle="1" w:styleId="artice11">
    <w:name w:val="artice 1.1"/>
    <w:basedOn w:val="Normal"/>
    <w:pPr>
      <w:ind w:left="840" w:hanging="560"/>
    </w:pPr>
    <w:rPr>
      <w:rFonts w:ascii="Avant Garde" w:hAnsi="Avant Garde"/>
      <w:b/>
      <w:noProof/>
    </w:rPr>
  </w:style>
  <w:style w:type="paragraph" w:customStyle="1" w:styleId="06ARTICLENiv2-Texte">
    <w:name w:val="06_ARTICLE_Niv2 - Texte"/>
    <w:basedOn w:val="05ARTICLENiv1-Texte"/>
    <w:pPr>
      <w:ind w:left="284"/>
    </w:pPr>
    <w:rPr>
      <w:noProof w:val="0"/>
    </w:rPr>
  </w:style>
  <w:style w:type="character" w:customStyle="1" w:styleId="06ARTICLENiv2-TexteCar">
    <w:name w:val="06_ARTICLE_Niv2 - Texte Car"/>
    <w:basedOn w:val="05ARTICLENiv1-TexteCar"/>
    <w:rPr>
      <w:rFonts w:ascii="Verdana" w:hAnsi="Verdana"/>
      <w:noProof/>
      <w:spacing w:val="-6"/>
      <w:sz w:val="18"/>
      <w:lang w:val="fr-FR" w:eastAsia="fr-FR" w:bidi="ar-SA"/>
    </w:rPr>
  </w:style>
  <w:style w:type="paragraph" w:styleId="Paragraphedeliste">
    <w:name w:val="List Paragraph"/>
    <w:aliases w:val="texte de base,Puce focus,Paragraphe de liste3,chapitre"/>
    <w:basedOn w:val="Normal"/>
    <w:link w:val="ParagraphedelisteCar"/>
    <w:qFormat/>
    <w:pPr>
      <w:ind w:left="708"/>
    </w:pPr>
  </w:style>
  <w:style w:type="paragraph" w:styleId="Notedefin">
    <w:name w:val="endnote text"/>
    <w:basedOn w:val="Normal"/>
    <w:semiHidden/>
  </w:style>
  <w:style w:type="character" w:customStyle="1" w:styleId="CarCar">
    <w:name w:val="Car Car"/>
    <w:basedOn w:val="Policepardfaut"/>
  </w:style>
  <w:style w:type="character" w:styleId="Appeldenotedefin">
    <w:name w:val="endnote reference"/>
    <w:semiHidden/>
    <w:rPr>
      <w:vertAlign w:val="superscript"/>
    </w:rPr>
  </w:style>
  <w:style w:type="paragraph" w:styleId="Objetducommentaire">
    <w:name w:val="annotation subject"/>
    <w:basedOn w:val="Commentaire"/>
    <w:next w:val="Commentaire"/>
    <w:pPr>
      <w:overflowPunct w:val="0"/>
      <w:autoSpaceDE w:val="0"/>
      <w:autoSpaceDN w:val="0"/>
      <w:adjustRightInd w:val="0"/>
      <w:spacing w:after="0"/>
      <w:textAlignment w:val="baseline"/>
    </w:pPr>
    <w:rPr>
      <w:rFonts w:ascii="Times New Roman" w:hAnsi="Times New Roman"/>
      <w:b/>
      <w:bCs/>
      <w:spacing w:val="0"/>
      <w:sz w:val="20"/>
    </w:rPr>
  </w:style>
  <w:style w:type="character" w:customStyle="1" w:styleId="CarCar1">
    <w:name w:val="Car Car1"/>
    <w:semiHidden/>
    <w:rPr>
      <w:rFonts w:ascii="Verdana" w:hAnsi="Verdana"/>
      <w:spacing w:val="-6"/>
      <w:sz w:val="24"/>
    </w:rPr>
  </w:style>
  <w:style w:type="character" w:customStyle="1" w:styleId="ObjetducommentaireCar">
    <w:name w:val="Objet du commentaire Car"/>
    <w:basedOn w:val="CarCar1"/>
    <w:rPr>
      <w:rFonts w:ascii="Verdana" w:hAnsi="Verdana"/>
      <w:spacing w:val="-6"/>
      <w:sz w:val="24"/>
    </w:rPr>
  </w:style>
  <w:style w:type="character" w:styleId="Lienhypertexte">
    <w:name w:val="Hyperlink"/>
    <w:uiPriority w:val="99"/>
    <w:rPr>
      <w:color w:val="0000FF"/>
      <w:u w:val="single"/>
    </w:rPr>
  </w:style>
  <w:style w:type="paragraph" w:customStyle="1" w:styleId="Citia">
    <w:name w:val="Citia"/>
    <w:basedOn w:val="Commentaire"/>
    <w:link w:val="CitiaCar"/>
    <w:rsid w:val="00246C8D"/>
    <w:pPr>
      <w:widowControl w:val="0"/>
      <w:spacing w:after="60"/>
    </w:pPr>
    <w:rPr>
      <w:rFonts w:ascii="Arial" w:hAnsi="Arial"/>
      <w:spacing w:val="0"/>
      <w:sz w:val="22"/>
      <w:szCs w:val="36"/>
    </w:rPr>
  </w:style>
  <w:style w:type="character" w:customStyle="1" w:styleId="CitiaCar">
    <w:name w:val="Citia Car"/>
    <w:link w:val="Citia"/>
    <w:rsid w:val="00246C8D"/>
    <w:rPr>
      <w:rFonts w:ascii="Arial" w:hAnsi="Arial"/>
      <w:sz w:val="22"/>
      <w:szCs w:val="36"/>
    </w:rPr>
  </w:style>
  <w:style w:type="paragraph" w:customStyle="1" w:styleId="Default">
    <w:name w:val="Default"/>
    <w:rsid w:val="00405197"/>
    <w:pPr>
      <w:autoSpaceDE w:val="0"/>
      <w:autoSpaceDN w:val="0"/>
      <w:adjustRightInd w:val="0"/>
    </w:pPr>
    <w:rPr>
      <w:rFonts w:ascii="Arial" w:hAnsi="Arial" w:cs="Arial"/>
      <w:color w:val="000000"/>
      <w:sz w:val="24"/>
      <w:szCs w:val="24"/>
    </w:rPr>
  </w:style>
  <w:style w:type="character" w:customStyle="1" w:styleId="CommentaireCar">
    <w:name w:val="Commentaire Car"/>
    <w:link w:val="Commentaire"/>
    <w:semiHidden/>
    <w:rsid w:val="00832EA2"/>
    <w:rPr>
      <w:rFonts w:ascii="Verdana" w:hAnsi="Verdana"/>
      <w:spacing w:val="-6"/>
      <w:sz w:val="24"/>
    </w:rPr>
  </w:style>
  <w:style w:type="character" w:styleId="Mentionnonrsolue">
    <w:name w:val="Unresolved Mention"/>
    <w:basedOn w:val="Policepardfaut"/>
    <w:uiPriority w:val="99"/>
    <w:semiHidden/>
    <w:unhideWhenUsed/>
    <w:rsid w:val="00E13043"/>
    <w:rPr>
      <w:color w:val="605E5C"/>
      <w:shd w:val="clear" w:color="auto" w:fill="E1DFDD"/>
    </w:rPr>
  </w:style>
  <w:style w:type="character" w:styleId="Lienhypertextesuivivisit">
    <w:name w:val="FollowedHyperlink"/>
    <w:basedOn w:val="Policepardfaut"/>
    <w:semiHidden/>
    <w:unhideWhenUsed/>
    <w:rsid w:val="006A4B96"/>
    <w:rPr>
      <w:color w:val="954F72" w:themeColor="followedHyperlink"/>
      <w:u w:val="single"/>
    </w:rPr>
  </w:style>
  <w:style w:type="character" w:styleId="Accentuation">
    <w:name w:val="Emphasis"/>
    <w:aliases w:val="Corps"/>
    <w:basedOn w:val="Policepardfaut"/>
    <w:qFormat/>
    <w:rsid w:val="0034726C"/>
    <w:rPr>
      <w:rFonts w:ascii="Arial" w:hAnsi="Arial"/>
      <w:i w:val="0"/>
      <w:iCs/>
      <w:sz w:val="20"/>
    </w:rPr>
  </w:style>
  <w:style w:type="paragraph" w:styleId="NormalWeb">
    <w:name w:val="Normal (Web)"/>
    <w:basedOn w:val="Normal"/>
    <w:uiPriority w:val="99"/>
    <w:unhideWhenUsed/>
    <w:rsid w:val="008A408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ParagraphedelisteCar">
    <w:name w:val="Paragraphe de liste Car"/>
    <w:aliases w:val="texte de base Car,Puce focus Car,Paragraphe de liste3 Car,chapitre Car"/>
    <w:link w:val="Paragraphedeliste"/>
    <w:locked/>
    <w:rsid w:val="00F5265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7990485">
      <w:bodyDiv w:val="1"/>
      <w:marLeft w:val="0"/>
      <w:marRight w:val="0"/>
      <w:marTop w:val="0"/>
      <w:marBottom w:val="0"/>
      <w:divBdr>
        <w:top w:val="none" w:sz="0" w:space="0" w:color="auto"/>
        <w:left w:val="none" w:sz="0" w:space="0" w:color="auto"/>
        <w:bottom w:val="none" w:sz="0" w:space="0" w:color="auto"/>
        <w:right w:val="none" w:sz="0" w:space="0" w:color="auto"/>
      </w:divBdr>
    </w:div>
    <w:div w:id="1762723369">
      <w:bodyDiv w:val="1"/>
      <w:marLeft w:val="0"/>
      <w:marRight w:val="0"/>
      <w:marTop w:val="0"/>
      <w:marBottom w:val="0"/>
      <w:divBdr>
        <w:top w:val="none" w:sz="0" w:space="0" w:color="auto"/>
        <w:left w:val="none" w:sz="0" w:space="0" w:color="auto"/>
        <w:bottom w:val="none" w:sz="0" w:space="0" w:color="auto"/>
        <w:right w:val="none" w:sz="0" w:space="0" w:color="auto"/>
      </w:divBdr>
    </w:div>
    <w:div w:id="1800225230">
      <w:bodyDiv w:val="1"/>
      <w:marLeft w:val="0"/>
      <w:marRight w:val="0"/>
      <w:marTop w:val="0"/>
      <w:marBottom w:val="0"/>
      <w:divBdr>
        <w:top w:val="none" w:sz="0" w:space="0" w:color="auto"/>
        <w:left w:val="none" w:sz="0" w:space="0" w:color="auto"/>
        <w:bottom w:val="none" w:sz="0" w:space="0" w:color="auto"/>
        <w:right w:val="none" w:sz="0" w:space="0" w:color="auto"/>
      </w:divBdr>
    </w:div>
    <w:div w:id="2102143939">
      <w:bodyDiv w:val="1"/>
      <w:marLeft w:val="0"/>
      <w:marRight w:val="0"/>
      <w:marTop w:val="0"/>
      <w:marBottom w:val="0"/>
      <w:divBdr>
        <w:top w:val="none" w:sz="0" w:space="0" w:color="auto"/>
        <w:left w:val="none" w:sz="0" w:space="0" w:color="auto"/>
        <w:bottom w:val="none" w:sz="0" w:space="0" w:color="auto"/>
        <w:right w:val="none" w:sz="0" w:space="0" w:color="auto"/>
      </w:divBdr>
      <w:divsChild>
        <w:div w:id="1945991612">
          <w:marLeft w:val="0"/>
          <w:marRight w:val="0"/>
          <w:marTop w:val="0"/>
          <w:marBottom w:val="0"/>
          <w:divBdr>
            <w:top w:val="none" w:sz="0" w:space="0" w:color="auto"/>
            <w:left w:val="none" w:sz="0" w:space="0" w:color="auto"/>
            <w:bottom w:val="none" w:sz="0" w:space="0" w:color="auto"/>
            <w:right w:val="none" w:sz="0" w:space="0" w:color="auto"/>
          </w:divBdr>
        </w:div>
        <w:div w:id="1163660609">
          <w:marLeft w:val="0"/>
          <w:marRight w:val="0"/>
          <w:marTop w:val="0"/>
          <w:marBottom w:val="0"/>
          <w:divBdr>
            <w:top w:val="none" w:sz="0" w:space="0" w:color="auto"/>
            <w:left w:val="none" w:sz="0" w:space="0" w:color="auto"/>
            <w:bottom w:val="none" w:sz="0" w:space="0" w:color="auto"/>
            <w:right w:val="none" w:sz="0" w:space="0" w:color="auto"/>
          </w:divBdr>
        </w:div>
        <w:div w:id="1910993746">
          <w:marLeft w:val="0"/>
          <w:marRight w:val="0"/>
          <w:marTop w:val="0"/>
          <w:marBottom w:val="0"/>
          <w:divBdr>
            <w:top w:val="none" w:sz="0" w:space="0" w:color="auto"/>
            <w:left w:val="none" w:sz="0" w:space="0" w:color="auto"/>
            <w:bottom w:val="none" w:sz="0" w:space="0" w:color="auto"/>
            <w:right w:val="none" w:sz="0" w:space="0" w:color="auto"/>
          </w:divBdr>
        </w:div>
        <w:div w:id="906263727">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6C0A4DE2A9064BB63A8676D28EAD5A" ma:contentTypeVersion="2" ma:contentTypeDescription="Crée un document." ma:contentTypeScope="" ma:versionID="3b4040f99ad8d83c4e292c69c6c04451">
  <xsd:schema xmlns:xsd="http://www.w3.org/2001/XMLSchema" xmlns:xs="http://www.w3.org/2001/XMLSchema" xmlns:p="http://schemas.microsoft.com/office/2006/metadata/properties" xmlns:ns3="df76dabd-7fa7-45c0-8f0e-8656594ad349" targetNamespace="http://schemas.microsoft.com/office/2006/metadata/properties" ma:root="true" ma:fieldsID="c963ac4b58d9e72007e625d1787c2603" ns3:_="">
    <xsd:import namespace="df76dabd-7fa7-45c0-8f0e-8656594ad34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76dabd-7fa7-45c0-8f0e-8656594ad3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26BF61-FAC0-44DD-9ED6-0E5CCF2323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76dabd-7fa7-45c0-8f0e-8656594ad3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03B7E5-49AC-45BE-98F8-D25CD21B5E7C}">
  <ds:schemaRefs>
    <ds:schemaRef ds:uri="http://schemas.openxmlformats.org/officeDocument/2006/bibliography"/>
  </ds:schemaRefs>
</ds:datastoreItem>
</file>

<file path=customXml/itemProps3.xml><?xml version="1.0" encoding="utf-8"?>
<ds:datastoreItem xmlns:ds="http://schemas.openxmlformats.org/officeDocument/2006/customXml" ds:itemID="{4B7B3ABF-D210-48E2-B0CE-6BEEBAEA14C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096FA0-455C-44AF-BE62-FA93180888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Pages>
  <Words>1230</Words>
  <Characters>6711</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lpstr>
    </vt:vector>
  </TitlesOfParts>
  <Company/>
  <LinksUpToDate>false</LinksUpToDate>
  <CharactersWithSpaces>7926</CharactersWithSpaces>
  <SharedDoc>false</SharedDoc>
  <HLinks>
    <vt:vector size="84" baseType="variant">
      <vt:variant>
        <vt:i4>3932269</vt:i4>
      </vt:variant>
      <vt:variant>
        <vt:i4>78</vt:i4>
      </vt:variant>
      <vt:variant>
        <vt:i4>0</vt:i4>
      </vt:variant>
      <vt:variant>
        <vt:i4>5</vt:i4>
      </vt:variant>
      <vt:variant>
        <vt:lpwstr>https://www.marches-publics.gouv.fr/?page=entreprise.EntrepriseHome</vt:lpwstr>
      </vt:variant>
      <vt:variant>
        <vt:lpwstr/>
      </vt:variant>
      <vt:variant>
        <vt:i4>17</vt:i4>
      </vt:variant>
      <vt:variant>
        <vt:i4>75</vt:i4>
      </vt:variant>
      <vt:variant>
        <vt:i4>0</vt:i4>
      </vt:variant>
      <vt:variant>
        <vt:i4>5</vt:i4>
      </vt:variant>
      <vt:variant>
        <vt:lpwstr>http://www.economie.gouv.fr/daj/formulaires-declaration-candidat</vt:lpwstr>
      </vt:variant>
      <vt:variant>
        <vt:lpwstr/>
      </vt:variant>
      <vt:variant>
        <vt:i4>1179700</vt:i4>
      </vt:variant>
      <vt:variant>
        <vt:i4>68</vt:i4>
      </vt:variant>
      <vt:variant>
        <vt:i4>0</vt:i4>
      </vt:variant>
      <vt:variant>
        <vt:i4>5</vt:i4>
      </vt:variant>
      <vt:variant>
        <vt:lpwstr/>
      </vt:variant>
      <vt:variant>
        <vt:lpwstr>_Toc453775425</vt:lpwstr>
      </vt:variant>
      <vt:variant>
        <vt:i4>1179700</vt:i4>
      </vt:variant>
      <vt:variant>
        <vt:i4>62</vt:i4>
      </vt:variant>
      <vt:variant>
        <vt:i4>0</vt:i4>
      </vt:variant>
      <vt:variant>
        <vt:i4>5</vt:i4>
      </vt:variant>
      <vt:variant>
        <vt:lpwstr/>
      </vt:variant>
      <vt:variant>
        <vt:lpwstr>_Toc453775424</vt:lpwstr>
      </vt:variant>
      <vt:variant>
        <vt:i4>1179700</vt:i4>
      </vt:variant>
      <vt:variant>
        <vt:i4>56</vt:i4>
      </vt:variant>
      <vt:variant>
        <vt:i4>0</vt:i4>
      </vt:variant>
      <vt:variant>
        <vt:i4>5</vt:i4>
      </vt:variant>
      <vt:variant>
        <vt:lpwstr/>
      </vt:variant>
      <vt:variant>
        <vt:lpwstr>_Toc453775423</vt:lpwstr>
      </vt:variant>
      <vt:variant>
        <vt:i4>1179700</vt:i4>
      </vt:variant>
      <vt:variant>
        <vt:i4>50</vt:i4>
      </vt:variant>
      <vt:variant>
        <vt:i4>0</vt:i4>
      </vt:variant>
      <vt:variant>
        <vt:i4>5</vt:i4>
      </vt:variant>
      <vt:variant>
        <vt:lpwstr/>
      </vt:variant>
      <vt:variant>
        <vt:lpwstr>_Toc453775422</vt:lpwstr>
      </vt:variant>
      <vt:variant>
        <vt:i4>1179700</vt:i4>
      </vt:variant>
      <vt:variant>
        <vt:i4>44</vt:i4>
      </vt:variant>
      <vt:variant>
        <vt:i4>0</vt:i4>
      </vt:variant>
      <vt:variant>
        <vt:i4>5</vt:i4>
      </vt:variant>
      <vt:variant>
        <vt:lpwstr/>
      </vt:variant>
      <vt:variant>
        <vt:lpwstr>_Toc453775421</vt:lpwstr>
      </vt:variant>
      <vt:variant>
        <vt:i4>1179700</vt:i4>
      </vt:variant>
      <vt:variant>
        <vt:i4>38</vt:i4>
      </vt:variant>
      <vt:variant>
        <vt:i4>0</vt:i4>
      </vt:variant>
      <vt:variant>
        <vt:i4>5</vt:i4>
      </vt:variant>
      <vt:variant>
        <vt:lpwstr/>
      </vt:variant>
      <vt:variant>
        <vt:lpwstr>_Toc453775420</vt:lpwstr>
      </vt:variant>
      <vt:variant>
        <vt:i4>1114164</vt:i4>
      </vt:variant>
      <vt:variant>
        <vt:i4>32</vt:i4>
      </vt:variant>
      <vt:variant>
        <vt:i4>0</vt:i4>
      </vt:variant>
      <vt:variant>
        <vt:i4>5</vt:i4>
      </vt:variant>
      <vt:variant>
        <vt:lpwstr/>
      </vt:variant>
      <vt:variant>
        <vt:lpwstr>_Toc453775419</vt:lpwstr>
      </vt:variant>
      <vt:variant>
        <vt:i4>1114164</vt:i4>
      </vt:variant>
      <vt:variant>
        <vt:i4>26</vt:i4>
      </vt:variant>
      <vt:variant>
        <vt:i4>0</vt:i4>
      </vt:variant>
      <vt:variant>
        <vt:i4>5</vt:i4>
      </vt:variant>
      <vt:variant>
        <vt:lpwstr/>
      </vt:variant>
      <vt:variant>
        <vt:lpwstr>_Toc453775418</vt:lpwstr>
      </vt:variant>
      <vt:variant>
        <vt:i4>1114164</vt:i4>
      </vt:variant>
      <vt:variant>
        <vt:i4>20</vt:i4>
      </vt:variant>
      <vt:variant>
        <vt:i4>0</vt:i4>
      </vt:variant>
      <vt:variant>
        <vt:i4>5</vt:i4>
      </vt:variant>
      <vt:variant>
        <vt:lpwstr/>
      </vt:variant>
      <vt:variant>
        <vt:lpwstr>_Toc453775417</vt:lpwstr>
      </vt:variant>
      <vt:variant>
        <vt:i4>1114164</vt:i4>
      </vt:variant>
      <vt:variant>
        <vt:i4>14</vt:i4>
      </vt:variant>
      <vt:variant>
        <vt:i4>0</vt:i4>
      </vt:variant>
      <vt:variant>
        <vt:i4>5</vt:i4>
      </vt:variant>
      <vt:variant>
        <vt:lpwstr/>
      </vt:variant>
      <vt:variant>
        <vt:lpwstr>_Toc453775416</vt:lpwstr>
      </vt:variant>
      <vt:variant>
        <vt:i4>1114164</vt:i4>
      </vt:variant>
      <vt:variant>
        <vt:i4>8</vt:i4>
      </vt:variant>
      <vt:variant>
        <vt:i4>0</vt:i4>
      </vt:variant>
      <vt:variant>
        <vt:i4>5</vt:i4>
      </vt:variant>
      <vt:variant>
        <vt:lpwstr/>
      </vt:variant>
      <vt:variant>
        <vt:lpwstr>_Toc453775415</vt:lpwstr>
      </vt:variant>
      <vt:variant>
        <vt:i4>1114164</vt:i4>
      </vt:variant>
      <vt:variant>
        <vt:i4>2</vt:i4>
      </vt:variant>
      <vt:variant>
        <vt:i4>0</vt:i4>
      </vt:variant>
      <vt:variant>
        <vt:i4>5</vt:i4>
      </vt:variant>
      <vt:variant>
        <vt:lpwstr/>
      </vt:variant>
      <vt:variant>
        <vt:lpwstr>_Toc453775414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Champetier</dc:creator>
  <cp:keywords/>
  <cp:lastModifiedBy>Etienne Motte</cp:lastModifiedBy>
  <cp:revision>18</cp:revision>
  <cp:lastPrinted>2019-07-16T13:24:00Z</cp:lastPrinted>
  <dcterms:created xsi:type="dcterms:W3CDTF">2020-06-12T14:03:00Z</dcterms:created>
  <dcterms:modified xsi:type="dcterms:W3CDTF">2021-01-05T08:21:00Z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0x010100506C0A4DE2A9064BB63A8676D28EAD5A</vt:lpwstr>
  </property>
</Properties>
</file>